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800" w:firstLineChars="200"/>
        <w:rPr>
          <w:rFonts w:hint="eastAsia" w:ascii="楷体" w:hAnsi="楷体" w:eastAsia="楷体" w:cs="楷体"/>
          <w:i w:val="0"/>
          <w:caps w:val="0"/>
          <w:color w:val="auto"/>
          <w:spacing w:val="0"/>
          <w:sz w:val="40"/>
          <w:szCs w:val="40"/>
        </w:rPr>
      </w:pPr>
    </w:p>
    <w:sdt>
      <w:sdtPr>
        <w:rPr>
          <w:rFonts w:hint="eastAsia" w:ascii="楷体" w:hAnsi="楷体" w:eastAsia="楷体" w:cs="楷体"/>
          <w:color w:val="auto"/>
          <w:kern w:val="2"/>
          <w:sz w:val="36"/>
          <w:szCs w:val="44"/>
          <w:lang w:val="en-US" w:eastAsia="zh-CN" w:bidi="ar-SA"/>
        </w:rPr>
        <w:id w:val="147473384"/>
        <w:docPartObj>
          <w:docPartGallery w:val="Table of Contents"/>
          <w:docPartUnique/>
        </w:docPartObj>
      </w:sdtPr>
      <w:sdtEndPr>
        <w:rPr>
          <w:rFonts w:hint="eastAsia" w:ascii="楷体" w:hAnsi="楷体" w:eastAsia="楷体" w:cs="楷体"/>
          <w:i w:val="0"/>
          <w:caps w:val="0"/>
          <w:color w:val="auto"/>
          <w:spacing w:val="0"/>
          <w:kern w:val="0"/>
          <w:sz w:val="36"/>
          <w:szCs w:val="40"/>
          <w:lang w:val="en-US" w:eastAsia="zh-CN" w:bidi="ar"/>
        </w:rPr>
      </w:sdtEndPr>
      <w:sdtContent>
        <w:p>
          <w:pPr>
            <w:pageBreakBefore w:val="0"/>
            <w:kinsoku/>
            <w:overflowPunct/>
            <w:topLinePunct w:val="0"/>
            <w:autoSpaceDE/>
            <w:autoSpaceDN/>
            <w:bidi w:val="0"/>
            <w:adjustRightInd/>
            <w:snapToGrid/>
            <w:spacing w:before="0" w:beforeLines="0" w:after="0" w:afterLines="0" w:line="240" w:lineRule="auto"/>
            <w:ind w:left="0" w:leftChars="0" w:right="0" w:rightChars="0" w:firstLine="720" w:firstLineChars="200"/>
            <w:jc w:val="center"/>
            <w:rPr>
              <w:rFonts w:hint="eastAsia" w:ascii="楷体" w:hAnsi="楷体" w:eastAsia="楷体" w:cs="楷体"/>
              <w:sz w:val="36"/>
              <w:szCs w:val="44"/>
            </w:rPr>
          </w:pPr>
          <w:r>
            <w:rPr>
              <w:rFonts w:hint="eastAsia" w:ascii="楷体" w:hAnsi="楷体" w:eastAsia="楷体" w:cs="楷体"/>
              <w:sz w:val="36"/>
              <w:szCs w:val="44"/>
            </w:rPr>
            <w:t>目录</w:t>
          </w:r>
        </w:p>
        <w:p>
          <w:pPr>
            <w:pStyle w:val="7"/>
            <w:pageBreakBefore w:val="0"/>
            <w:tabs>
              <w:tab w:val="right" w:leader="dot" w:pos="8306"/>
            </w:tabs>
            <w:kinsoku/>
            <w:overflowPunct/>
            <w:topLinePunct w:val="0"/>
            <w:autoSpaceDE/>
            <w:autoSpaceDN/>
            <w:bidi w:val="0"/>
            <w:adjustRightInd/>
            <w:snapToGrid/>
            <w:ind w:firstLine="800" w:firstLineChars="200"/>
            <w:rPr>
              <w:rFonts w:hint="eastAsia" w:ascii="楷体" w:hAnsi="楷体" w:eastAsia="楷体" w:cs="楷体"/>
              <w:sz w:val="28"/>
              <w:szCs w:val="36"/>
            </w:rPr>
          </w:pPr>
          <w:r>
            <w:rPr>
              <w:rFonts w:hint="eastAsia" w:ascii="楷体" w:hAnsi="楷体" w:eastAsia="楷体" w:cs="楷体"/>
              <w:i w:val="0"/>
              <w:caps w:val="0"/>
              <w:color w:val="auto"/>
              <w:spacing w:val="0"/>
              <w:sz w:val="40"/>
              <w:szCs w:val="40"/>
            </w:rPr>
            <w:fldChar w:fldCharType="begin"/>
          </w:r>
          <w:r>
            <w:rPr>
              <w:rFonts w:hint="eastAsia" w:ascii="楷体" w:hAnsi="楷体" w:eastAsia="楷体" w:cs="楷体"/>
              <w:i w:val="0"/>
              <w:caps w:val="0"/>
              <w:color w:val="auto"/>
              <w:spacing w:val="0"/>
              <w:sz w:val="40"/>
              <w:szCs w:val="40"/>
            </w:rPr>
            <w:instrText xml:space="preserve">TOC \o "1-3" \h \u </w:instrText>
          </w:r>
          <w:r>
            <w:rPr>
              <w:rFonts w:hint="eastAsia" w:ascii="楷体" w:hAnsi="楷体" w:eastAsia="楷体" w:cs="楷体"/>
              <w:i w:val="0"/>
              <w:caps w:val="0"/>
              <w:color w:val="auto"/>
              <w:spacing w:val="0"/>
              <w:sz w:val="40"/>
              <w:szCs w:val="40"/>
            </w:rPr>
            <w:fldChar w:fldCharType="separate"/>
          </w:r>
          <w:r>
            <w:rPr>
              <w:rFonts w:hint="eastAsia" w:ascii="楷体" w:hAnsi="楷体" w:eastAsia="楷体" w:cs="楷体"/>
              <w:i w:val="0"/>
              <w:caps w:val="0"/>
              <w:color w:val="auto"/>
              <w:spacing w:val="0"/>
              <w:sz w:val="28"/>
              <w:szCs w:val="40"/>
            </w:rPr>
            <w:fldChar w:fldCharType="begin"/>
          </w:r>
          <w:r>
            <w:rPr>
              <w:rFonts w:hint="eastAsia" w:ascii="楷体" w:hAnsi="楷体" w:eastAsia="楷体" w:cs="楷体"/>
              <w:i w:val="0"/>
              <w:caps w:val="0"/>
              <w:spacing w:val="0"/>
              <w:sz w:val="28"/>
              <w:szCs w:val="40"/>
            </w:rPr>
            <w:instrText xml:space="preserve"> HYPERLINK \l _Toc23352 </w:instrText>
          </w:r>
          <w:r>
            <w:rPr>
              <w:rFonts w:hint="eastAsia" w:ascii="楷体" w:hAnsi="楷体" w:eastAsia="楷体" w:cs="楷体"/>
              <w:i w:val="0"/>
              <w:caps w:val="0"/>
              <w:spacing w:val="0"/>
              <w:sz w:val="28"/>
              <w:szCs w:val="40"/>
            </w:rPr>
            <w:fldChar w:fldCharType="separate"/>
          </w:r>
          <w:r>
            <w:rPr>
              <w:rFonts w:hint="eastAsia" w:ascii="楷体" w:hAnsi="楷体" w:eastAsia="楷体" w:cs="楷体"/>
              <w:sz w:val="28"/>
              <w:szCs w:val="36"/>
            </w:rPr>
            <w:t>大道至简</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_Toc23352 </w:instrText>
          </w:r>
          <w:r>
            <w:rPr>
              <w:rFonts w:hint="eastAsia" w:ascii="楷体" w:hAnsi="楷体" w:eastAsia="楷体" w:cs="楷体"/>
              <w:sz w:val="28"/>
              <w:szCs w:val="36"/>
            </w:rPr>
            <w:fldChar w:fldCharType="separate"/>
          </w:r>
          <w:r>
            <w:rPr>
              <w:rFonts w:hint="eastAsia" w:ascii="楷体" w:hAnsi="楷体" w:eastAsia="楷体" w:cs="楷体"/>
              <w:sz w:val="28"/>
              <w:szCs w:val="36"/>
            </w:rPr>
            <w:t>1</w:t>
          </w:r>
          <w:r>
            <w:rPr>
              <w:rFonts w:hint="eastAsia" w:ascii="楷体" w:hAnsi="楷体" w:eastAsia="楷体" w:cs="楷体"/>
              <w:sz w:val="28"/>
              <w:szCs w:val="36"/>
            </w:rPr>
            <w:fldChar w:fldCharType="end"/>
          </w:r>
          <w:r>
            <w:rPr>
              <w:rFonts w:hint="eastAsia" w:ascii="楷体" w:hAnsi="楷体" w:eastAsia="楷体" w:cs="楷体"/>
              <w:i w:val="0"/>
              <w:caps w:val="0"/>
              <w:color w:val="auto"/>
              <w:spacing w:val="0"/>
              <w:sz w:val="28"/>
              <w:szCs w:val="40"/>
            </w:rPr>
            <w:fldChar w:fldCharType="end"/>
          </w:r>
        </w:p>
        <w:p>
          <w:pPr>
            <w:pStyle w:val="7"/>
            <w:pageBreakBefore w:val="0"/>
            <w:tabs>
              <w:tab w:val="right" w:leader="dot" w:pos="8306"/>
            </w:tabs>
            <w:kinsoku/>
            <w:overflowPunct/>
            <w:topLinePunct w:val="0"/>
            <w:autoSpaceDE/>
            <w:autoSpaceDN/>
            <w:bidi w:val="0"/>
            <w:adjustRightInd/>
            <w:snapToGrid/>
            <w:ind w:firstLine="560" w:firstLineChars="200"/>
            <w:rPr>
              <w:rFonts w:hint="eastAsia" w:ascii="楷体" w:hAnsi="楷体" w:eastAsia="楷体" w:cs="楷体"/>
              <w:sz w:val="28"/>
              <w:szCs w:val="36"/>
            </w:rPr>
          </w:pPr>
          <w:r>
            <w:rPr>
              <w:rFonts w:hint="eastAsia" w:ascii="楷体" w:hAnsi="楷体" w:eastAsia="楷体" w:cs="楷体"/>
              <w:i w:val="0"/>
              <w:caps w:val="0"/>
              <w:color w:val="auto"/>
              <w:spacing w:val="0"/>
              <w:sz w:val="28"/>
              <w:szCs w:val="40"/>
            </w:rPr>
            <w:fldChar w:fldCharType="begin"/>
          </w:r>
          <w:r>
            <w:rPr>
              <w:rFonts w:hint="eastAsia" w:ascii="楷体" w:hAnsi="楷体" w:eastAsia="楷体" w:cs="楷体"/>
              <w:i w:val="0"/>
              <w:caps w:val="0"/>
              <w:spacing w:val="0"/>
              <w:sz w:val="28"/>
              <w:szCs w:val="40"/>
            </w:rPr>
            <w:instrText xml:space="preserve"> HYPERLINK \l _Toc26147 </w:instrText>
          </w:r>
          <w:r>
            <w:rPr>
              <w:rFonts w:hint="eastAsia" w:ascii="楷体" w:hAnsi="楷体" w:eastAsia="楷体" w:cs="楷体"/>
              <w:i w:val="0"/>
              <w:caps w:val="0"/>
              <w:spacing w:val="0"/>
              <w:sz w:val="28"/>
              <w:szCs w:val="40"/>
            </w:rPr>
            <w:fldChar w:fldCharType="separate"/>
          </w:r>
          <w:r>
            <w:rPr>
              <w:rFonts w:hint="eastAsia" w:ascii="楷体" w:hAnsi="楷体" w:eastAsia="楷体" w:cs="楷体"/>
              <w:sz w:val="28"/>
              <w:szCs w:val="36"/>
            </w:rPr>
            <w:t>分享企业成长</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_Toc26147 </w:instrText>
          </w:r>
          <w:r>
            <w:rPr>
              <w:rFonts w:hint="eastAsia" w:ascii="楷体" w:hAnsi="楷体" w:eastAsia="楷体" w:cs="楷体"/>
              <w:sz w:val="28"/>
              <w:szCs w:val="36"/>
            </w:rPr>
            <w:fldChar w:fldCharType="separate"/>
          </w:r>
          <w:r>
            <w:rPr>
              <w:rFonts w:hint="eastAsia" w:ascii="楷体" w:hAnsi="楷体" w:eastAsia="楷体" w:cs="楷体"/>
              <w:sz w:val="28"/>
              <w:szCs w:val="36"/>
            </w:rPr>
            <w:t>3</w:t>
          </w:r>
          <w:r>
            <w:rPr>
              <w:rFonts w:hint="eastAsia" w:ascii="楷体" w:hAnsi="楷体" w:eastAsia="楷体" w:cs="楷体"/>
              <w:sz w:val="28"/>
              <w:szCs w:val="36"/>
            </w:rPr>
            <w:fldChar w:fldCharType="end"/>
          </w:r>
          <w:r>
            <w:rPr>
              <w:rFonts w:hint="eastAsia" w:ascii="楷体" w:hAnsi="楷体" w:eastAsia="楷体" w:cs="楷体"/>
              <w:i w:val="0"/>
              <w:caps w:val="0"/>
              <w:color w:val="auto"/>
              <w:spacing w:val="0"/>
              <w:sz w:val="28"/>
              <w:szCs w:val="40"/>
            </w:rPr>
            <w:fldChar w:fldCharType="end"/>
          </w:r>
        </w:p>
        <w:p>
          <w:pPr>
            <w:pStyle w:val="7"/>
            <w:pageBreakBefore w:val="0"/>
            <w:tabs>
              <w:tab w:val="right" w:leader="dot" w:pos="8306"/>
            </w:tabs>
            <w:kinsoku/>
            <w:overflowPunct/>
            <w:topLinePunct w:val="0"/>
            <w:autoSpaceDE/>
            <w:autoSpaceDN/>
            <w:bidi w:val="0"/>
            <w:adjustRightInd/>
            <w:snapToGrid/>
            <w:ind w:firstLine="560" w:firstLineChars="200"/>
            <w:rPr>
              <w:rFonts w:hint="eastAsia" w:ascii="楷体" w:hAnsi="楷体" w:eastAsia="楷体" w:cs="楷体"/>
              <w:sz w:val="28"/>
              <w:szCs w:val="36"/>
            </w:rPr>
          </w:pPr>
          <w:r>
            <w:rPr>
              <w:rFonts w:hint="eastAsia" w:ascii="楷体" w:hAnsi="楷体" w:eastAsia="楷体" w:cs="楷体"/>
              <w:i w:val="0"/>
              <w:caps w:val="0"/>
              <w:color w:val="auto"/>
              <w:spacing w:val="0"/>
              <w:sz w:val="28"/>
              <w:szCs w:val="40"/>
            </w:rPr>
            <w:fldChar w:fldCharType="begin"/>
          </w:r>
          <w:r>
            <w:rPr>
              <w:rFonts w:hint="eastAsia" w:ascii="楷体" w:hAnsi="楷体" w:eastAsia="楷体" w:cs="楷体"/>
              <w:i w:val="0"/>
              <w:caps w:val="0"/>
              <w:spacing w:val="0"/>
              <w:sz w:val="28"/>
              <w:szCs w:val="40"/>
            </w:rPr>
            <w:instrText xml:space="preserve"> HYPERLINK \l _Toc27564 </w:instrText>
          </w:r>
          <w:r>
            <w:rPr>
              <w:rFonts w:hint="eastAsia" w:ascii="楷体" w:hAnsi="楷体" w:eastAsia="楷体" w:cs="楷体"/>
              <w:i w:val="0"/>
              <w:caps w:val="0"/>
              <w:spacing w:val="0"/>
              <w:sz w:val="28"/>
              <w:szCs w:val="40"/>
            </w:rPr>
            <w:fldChar w:fldCharType="separate"/>
          </w:r>
          <w:r>
            <w:rPr>
              <w:rFonts w:hint="eastAsia" w:ascii="楷体" w:hAnsi="楷体" w:eastAsia="楷体" w:cs="楷体"/>
              <w:sz w:val="28"/>
              <w:szCs w:val="36"/>
            </w:rPr>
            <w:t>速度还是耐力</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_Toc27564 </w:instrText>
          </w:r>
          <w:r>
            <w:rPr>
              <w:rFonts w:hint="eastAsia" w:ascii="楷体" w:hAnsi="楷体" w:eastAsia="楷体" w:cs="楷体"/>
              <w:sz w:val="28"/>
              <w:szCs w:val="36"/>
            </w:rPr>
            <w:fldChar w:fldCharType="separate"/>
          </w:r>
          <w:r>
            <w:rPr>
              <w:rFonts w:hint="eastAsia" w:ascii="楷体" w:hAnsi="楷体" w:eastAsia="楷体" w:cs="楷体"/>
              <w:sz w:val="28"/>
              <w:szCs w:val="36"/>
            </w:rPr>
            <w:t>4</w:t>
          </w:r>
          <w:r>
            <w:rPr>
              <w:rFonts w:hint="eastAsia" w:ascii="楷体" w:hAnsi="楷体" w:eastAsia="楷体" w:cs="楷体"/>
              <w:sz w:val="28"/>
              <w:szCs w:val="36"/>
            </w:rPr>
            <w:fldChar w:fldCharType="end"/>
          </w:r>
          <w:r>
            <w:rPr>
              <w:rFonts w:hint="eastAsia" w:ascii="楷体" w:hAnsi="楷体" w:eastAsia="楷体" w:cs="楷体"/>
              <w:i w:val="0"/>
              <w:caps w:val="0"/>
              <w:color w:val="auto"/>
              <w:spacing w:val="0"/>
              <w:sz w:val="28"/>
              <w:szCs w:val="40"/>
            </w:rPr>
            <w:fldChar w:fldCharType="end"/>
          </w:r>
        </w:p>
        <w:p>
          <w:pPr>
            <w:pStyle w:val="7"/>
            <w:pageBreakBefore w:val="0"/>
            <w:tabs>
              <w:tab w:val="right" w:leader="dot" w:pos="8306"/>
            </w:tabs>
            <w:kinsoku/>
            <w:overflowPunct/>
            <w:topLinePunct w:val="0"/>
            <w:autoSpaceDE/>
            <w:autoSpaceDN/>
            <w:bidi w:val="0"/>
            <w:adjustRightInd/>
            <w:snapToGrid/>
            <w:ind w:firstLine="560" w:firstLineChars="200"/>
            <w:rPr>
              <w:rFonts w:hint="eastAsia" w:ascii="楷体" w:hAnsi="楷体" w:eastAsia="楷体" w:cs="楷体"/>
              <w:sz w:val="28"/>
              <w:szCs w:val="36"/>
            </w:rPr>
          </w:pPr>
          <w:r>
            <w:rPr>
              <w:rFonts w:hint="eastAsia" w:ascii="楷体" w:hAnsi="楷体" w:eastAsia="楷体" w:cs="楷体"/>
              <w:i w:val="0"/>
              <w:caps w:val="0"/>
              <w:color w:val="auto"/>
              <w:spacing w:val="0"/>
              <w:sz w:val="28"/>
              <w:szCs w:val="40"/>
            </w:rPr>
            <w:fldChar w:fldCharType="begin"/>
          </w:r>
          <w:r>
            <w:rPr>
              <w:rFonts w:hint="eastAsia" w:ascii="楷体" w:hAnsi="楷体" w:eastAsia="楷体" w:cs="楷体"/>
              <w:i w:val="0"/>
              <w:caps w:val="0"/>
              <w:spacing w:val="0"/>
              <w:sz w:val="28"/>
              <w:szCs w:val="40"/>
            </w:rPr>
            <w:instrText xml:space="preserve"> HYPERLINK \l _Toc30886 </w:instrText>
          </w:r>
          <w:r>
            <w:rPr>
              <w:rFonts w:hint="eastAsia" w:ascii="楷体" w:hAnsi="楷体" w:eastAsia="楷体" w:cs="楷体"/>
              <w:i w:val="0"/>
              <w:caps w:val="0"/>
              <w:spacing w:val="0"/>
              <w:sz w:val="28"/>
              <w:szCs w:val="40"/>
            </w:rPr>
            <w:fldChar w:fldCharType="separate"/>
          </w:r>
          <w:r>
            <w:rPr>
              <w:rFonts w:hint="eastAsia" w:ascii="楷体" w:hAnsi="楷体" w:eastAsia="楷体" w:cs="楷体"/>
              <w:sz w:val="28"/>
              <w:szCs w:val="36"/>
            </w:rPr>
            <w:t>读老虎基金致投资者的信有感</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_Toc30886 </w:instrText>
          </w:r>
          <w:r>
            <w:rPr>
              <w:rFonts w:hint="eastAsia" w:ascii="楷体" w:hAnsi="楷体" w:eastAsia="楷体" w:cs="楷体"/>
              <w:sz w:val="28"/>
              <w:szCs w:val="36"/>
            </w:rPr>
            <w:fldChar w:fldCharType="separate"/>
          </w:r>
          <w:r>
            <w:rPr>
              <w:rFonts w:hint="eastAsia" w:ascii="楷体" w:hAnsi="楷体" w:eastAsia="楷体" w:cs="楷体"/>
              <w:sz w:val="28"/>
              <w:szCs w:val="36"/>
            </w:rPr>
            <w:t>5</w:t>
          </w:r>
          <w:r>
            <w:rPr>
              <w:rFonts w:hint="eastAsia" w:ascii="楷体" w:hAnsi="楷体" w:eastAsia="楷体" w:cs="楷体"/>
              <w:sz w:val="28"/>
              <w:szCs w:val="36"/>
            </w:rPr>
            <w:fldChar w:fldCharType="end"/>
          </w:r>
          <w:r>
            <w:rPr>
              <w:rFonts w:hint="eastAsia" w:ascii="楷体" w:hAnsi="楷体" w:eastAsia="楷体" w:cs="楷体"/>
              <w:i w:val="0"/>
              <w:caps w:val="0"/>
              <w:color w:val="auto"/>
              <w:spacing w:val="0"/>
              <w:sz w:val="28"/>
              <w:szCs w:val="40"/>
            </w:rPr>
            <w:fldChar w:fldCharType="end"/>
          </w:r>
        </w:p>
        <w:p>
          <w:pPr>
            <w:pStyle w:val="7"/>
            <w:pageBreakBefore w:val="0"/>
            <w:tabs>
              <w:tab w:val="right" w:leader="dot" w:pos="8306"/>
            </w:tabs>
            <w:kinsoku/>
            <w:overflowPunct/>
            <w:topLinePunct w:val="0"/>
            <w:autoSpaceDE/>
            <w:autoSpaceDN/>
            <w:bidi w:val="0"/>
            <w:adjustRightInd/>
            <w:snapToGrid/>
            <w:ind w:firstLine="560" w:firstLineChars="200"/>
            <w:rPr>
              <w:rFonts w:hint="eastAsia" w:ascii="楷体" w:hAnsi="楷体" w:eastAsia="楷体" w:cs="楷体"/>
              <w:sz w:val="28"/>
              <w:szCs w:val="36"/>
            </w:rPr>
          </w:pPr>
          <w:r>
            <w:rPr>
              <w:rFonts w:hint="eastAsia" w:ascii="楷体" w:hAnsi="楷体" w:eastAsia="楷体" w:cs="楷体"/>
              <w:i w:val="0"/>
              <w:caps w:val="0"/>
              <w:color w:val="auto"/>
              <w:spacing w:val="0"/>
              <w:sz w:val="28"/>
              <w:szCs w:val="40"/>
            </w:rPr>
            <w:fldChar w:fldCharType="begin"/>
          </w:r>
          <w:r>
            <w:rPr>
              <w:rFonts w:hint="eastAsia" w:ascii="楷体" w:hAnsi="楷体" w:eastAsia="楷体" w:cs="楷体"/>
              <w:i w:val="0"/>
              <w:caps w:val="0"/>
              <w:spacing w:val="0"/>
              <w:sz w:val="28"/>
              <w:szCs w:val="40"/>
            </w:rPr>
            <w:instrText xml:space="preserve"> HYPERLINK \l _Toc1964 </w:instrText>
          </w:r>
          <w:r>
            <w:rPr>
              <w:rFonts w:hint="eastAsia" w:ascii="楷体" w:hAnsi="楷体" w:eastAsia="楷体" w:cs="楷体"/>
              <w:i w:val="0"/>
              <w:caps w:val="0"/>
              <w:spacing w:val="0"/>
              <w:sz w:val="28"/>
              <w:szCs w:val="40"/>
            </w:rPr>
            <w:fldChar w:fldCharType="separate"/>
          </w:r>
          <w:r>
            <w:rPr>
              <w:rFonts w:hint="eastAsia" w:ascii="楷体" w:hAnsi="楷体" w:eastAsia="楷体" w:cs="楷体"/>
              <w:sz w:val="28"/>
              <w:szCs w:val="36"/>
              <w:lang w:val="en-US" w:eastAsia="zh-CN"/>
            </w:rPr>
            <w:t>耐心</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_Toc1964 </w:instrText>
          </w:r>
          <w:r>
            <w:rPr>
              <w:rFonts w:hint="eastAsia" w:ascii="楷体" w:hAnsi="楷体" w:eastAsia="楷体" w:cs="楷体"/>
              <w:sz w:val="28"/>
              <w:szCs w:val="36"/>
            </w:rPr>
            <w:fldChar w:fldCharType="separate"/>
          </w:r>
          <w:r>
            <w:rPr>
              <w:rFonts w:hint="eastAsia" w:ascii="楷体" w:hAnsi="楷体" w:eastAsia="楷体" w:cs="楷体"/>
              <w:sz w:val="28"/>
              <w:szCs w:val="36"/>
            </w:rPr>
            <w:t>7</w:t>
          </w:r>
          <w:r>
            <w:rPr>
              <w:rFonts w:hint="eastAsia" w:ascii="楷体" w:hAnsi="楷体" w:eastAsia="楷体" w:cs="楷体"/>
              <w:sz w:val="28"/>
              <w:szCs w:val="36"/>
            </w:rPr>
            <w:fldChar w:fldCharType="end"/>
          </w:r>
          <w:r>
            <w:rPr>
              <w:rFonts w:hint="eastAsia" w:ascii="楷体" w:hAnsi="楷体" w:eastAsia="楷体" w:cs="楷体"/>
              <w:i w:val="0"/>
              <w:caps w:val="0"/>
              <w:color w:val="auto"/>
              <w:spacing w:val="0"/>
              <w:sz w:val="28"/>
              <w:szCs w:val="40"/>
            </w:rPr>
            <w:fldChar w:fldCharType="end"/>
          </w:r>
        </w:p>
        <w:p>
          <w:pPr>
            <w:pStyle w:val="7"/>
            <w:pageBreakBefore w:val="0"/>
            <w:tabs>
              <w:tab w:val="right" w:leader="dot" w:pos="8306"/>
            </w:tabs>
            <w:kinsoku/>
            <w:overflowPunct/>
            <w:topLinePunct w:val="0"/>
            <w:autoSpaceDE/>
            <w:autoSpaceDN/>
            <w:bidi w:val="0"/>
            <w:adjustRightInd/>
            <w:snapToGrid/>
            <w:ind w:firstLine="560" w:firstLineChars="200"/>
            <w:rPr>
              <w:rFonts w:hint="eastAsia" w:ascii="楷体" w:hAnsi="楷体" w:eastAsia="楷体" w:cs="楷体"/>
              <w:sz w:val="28"/>
              <w:szCs w:val="36"/>
            </w:rPr>
          </w:pPr>
          <w:r>
            <w:rPr>
              <w:rFonts w:hint="eastAsia" w:ascii="楷体" w:hAnsi="楷体" w:eastAsia="楷体" w:cs="楷体"/>
              <w:i w:val="0"/>
              <w:caps w:val="0"/>
              <w:color w:val="auto"/>
              <w:spacing w:val="0"/>
              <w:sz w:val="28"/>
              <w:szCs w:val="40"/>
            </w:rPr>
            <w:fldChar w:fldCharType="begin"/>
          </w:r>
          <w:r>
            <w:rPr>
              <w:rFonts w:hint="eastAsia" w:ascii="楷体" w:hAnsi="楷体" w:eastAsia="楷体" w:cs="楷体"/>
              <w:i w:val="0"/>
              <w:caps w:val="0"/>
              <w:spacing w:val="0"/>
              <w:sz w:val="28"/>
              <w:szCs w:val="40"/>
            </w:rPr>
            <w:instrText xml:space="preserve"> HYPERLINK \l _Toc19629 </w:instrText>
          </w:r>
          <w:r>
            <w:rPr>
              <w:rFonts w:hint="eastAsia" w:ascii="楷体" w:hAnsi="楷体" w:eastAsia="楷体" w:cs="楷体"/>
              <w:i w:val="0"/>
              <w:caps w:val="0"/>
              <w:spacing w:val="0"/>
              <w:sz w:val="28"/>
              <w:szCs w:val="40"/>
            </w:rPr>
            <w:fldChar w:fldCharType="separate"/>
          </w:r>
          <w:r>
            <w:rPr>
              <w:rFonts w:hint="eastAsia" w:ascii="楷体" w:hAnsi="楷体" w:eastAsia="楷体" w:cs="楷体"/>
              <w:sz w:val="28"/>
              <w:szCs w:val="36"/>
            </w:rPr>
            <w:t>晚上睡得香比什么都重要</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_Toc19629 </w:instrText>
          </w:r>
          <w:r>
            <w:rPr>
              <w:rFonts w:hint="eastAsia" w:ascii="楷体" w:hAnsi="楷体" w:eastAsia="楷体" w:cs="楷体"/>
              <w:sz w:val="28"/>
              <w:szCs w:val="36"/>
            </w:rPr>
            <w:fldChar w:fldCharType="separate"/>
          </w:r>
          <w:r>
            <w:rPr>
              <w:rFonts w:hint="eastAsia" w:ascii="楷体" w:hAnsi="楷体" w:eastAsia="楷体" w:cs="楷体"/>
              <w:sz w:val="28"/>
              <w:szCs w:val="36"/>
            </w:rPr>
            <w:t>8</w:t>
          </w:r>
          <w:r>
            <w:rPr>
              <w:rFonts w:hint="eastAsia" w:ascii="楷体" w:hAnsi="楷体" w:eastAsia="楷体" w:cs="楷体"/>
              <w:sz w:val="28"/>
              <w:szCs w:val="36"/>
            </w:rPr>
            <w:fldChar w:fldCharType="end"/>
          </w:r>
          <w:r>
            <w:rPr>
              <w:rFonts w:hint="eastAsia" w:ascii="楷体" w:hAnsi="楷体" w:eastAsia="楷体" w:cs="楷体"/>
              <w:i w:val="0"/>
              <w:caps w:val="0"/>
              <w:color w:val="auto"/>
              <w:spacing w:val="0"/>
              <w:sz w:val="28"/>
              <w:szCs w:val="40"/>
            </w:rPr>
            <w:fldChar w:fldCharType="end"/>
          </w:r>
        </w:p>
        <w:p>
          <w:pPr>
            <w:pStyle w:val="7"/>
            <w:pageBreakBefore w:val="0"/>
            <w:tabs>
              <w:tab w:val="right" w:leader="dot" w:pos="8306"/>
            </w:tabs>
            <w:kinsoku/>
            <w:overflowPunct/>
            <w:topLinePunct w:val="0"/>
            <w:autoSpaceDE/>
            <w:autoSpaceDN/>
            <w:bidi w:val="0"/>
            <w:adjustRightInd/>
            <w:snapToGrid/>
            <w:ind w:firstLine="560" w:firstLineChars="200"/>
            <w:rPr>
              <w:rFonts w:hint="eastAsia" w:ascii="楷体" w:hAnsi="楷体" w:eastAsia="楷体" w:cs="楷体"/>
              <w:sz w:val="28"/>
              <w:szCs w:val="36"/>
            </w:rPr>
          </w:pPr>
          <w:r>
            <w:rPr>
              <w:rFonts w:hint="eastAsia" w:ascii="楷体" w:hAnsi="楷体" w:eastAsia="楷体" w:cs="楷体"/>
              <w:i w:val="0"/>
              <w:caps w:val="0"/>
              <w:color w:val="auto"/>
              <w:spacing w:val="0"/>
              <w:sz w:val="28"/>
              <w:szCs w:val="40"/>
            </w:rPr>
            <w:fldChar w:fldCharType="begin"/>
          </w:r>
          <w:r>
            <w:rPr>
              <w:rFonts w:hint="eastAsia" w:ascii="楷体" w:hAnsi="楷体" w:eastAsia="楷体" w:cs="楷体"/>
              <w:i w:val="0"/>
              <w:caps w:val="0"/>
              <w:spacing w:val="0"/>
              <w:sz w:val="28"/>
              <w:szCs w:val="40"/>
            </w:rPr>
            <w:instrText xml:space="preserve"> HYPERLINK \l _Toc11167 </w:instrText>
          </w:r>
          <w:r>
            <w:rPr>
              <w:rFonts w:hint="eastAsia" w:ascii="楷体" w:hAnsi="楷体" w:eastAsia="楷体" w:cs="楷体"/>
              <w:i w:val="0"/>
              <w:caps w:val="0"/>
              <w:spacing w:val="0"/>
              <w:sz w:val="28"/>
              <w:szCs w:val="40"/>
            </w:rPr>
            <w:fldChar w:fldCharType="separate"/>
          </w:r>
          <w:r>
            <w:rPr>
              <w:rFonts w:hint="eastAsia" w:ascii="楷体" w:hAnsi="楷体" w:eastAsia="楷体" w:cs="楷体"/>
              <w:sz w:val="28"/>
              <w:szCs w:val="36"/>
            </w:rPr>
            <w:t>流动性折价</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_Toc11167 </w:instrText>
          </w:r>
          <w:r>
            <w:rPr>
              <w:rFonts w:hint="eastAsia" w:ascii="楷体" w:hAnsi="楷体" w:eastAsia="楷体" w:cs="楷体"/>
              <w:sz w:val="28"/>
              <w:szCs w:val="36"/>
            </w:rPr>
            <w:fldChar w:fldCharType="separate"/>
          </w:r>
          <w:r>
            <w:rPr>
              <w:rFonts w:hint="eastAsia" w:ascii="楷体" w:hAnsi="楷体" w:eastAsia="楷体" w:cs="楷体"/>
              <w:sz w:val="28"/>
              <w:szCs w:val="36"/>
            </w:rPr>
            <w:t>10</w:t>
          </w:r>
          <w:r>
            <w:rPr>
              <w:rFonts w:hint="eastAsia" w:ascii="楷体" w:hAnsi="楷体" w:eastAsia="楷体" w:cs="楷体"/>
              <w:sz w:val="28"/>
              <w:szCs w:val="36"/>
            </w:rPr>
            <w:fldChar w:fldCharType="end"/>
          </w:r>
          <w:r>
            <w:rPr>
              <w:rFonts w:hint="eastAsia" w:ascii="楷体" w:hAnsi="楷体" w:eastAsia="楷体" w:cs="楷体"/>
              <w:i w:val="0"/>
              <w:caps w:val="0"/>
              <w:color w:val="auto"/>
              <w:spacing w:val="0"/>
              <w:sz w:val="28"/>
              <w:szCs w:val="40"/>
            </w:rPr>
            <w:fldChar w:fldCharType="end"/>
          </w:r>
        </w:p>
        <w:p>
          <w:pPr>
            <w:pStyle w:val="7"/>
            <w:pageBreakBefore w:val="0"/>
            <w:tabs>
              <w:tab w:val="right" w:leader="dot" w:pos="8306"/>
            </w:tabs>
            <w:kinsoku/>
            <w:overflowPunct/>
            <w:topLinePunct w:val="0"/>
            <w:autoSpaceDE/>
            <w:autoSpaceDN/>
            <w:bidi w:val="0"/>
            <w:adjustRightInd/>
            <w:snapToGrid/>
            <w:ind w:firstLine="560" w:firstLineChars="200"/>
            <w:rPr>
              <w:rFonts w:hint="eastAsia" w:ascii="楷体" w:hAnsi="楷体" w:eastAsia="楷体" w:cs="楷体"/>
              <w:sz w:val="28"/>
              <w:szCs w:val="36"/>
            </w:rPr>
          </w:pPr>
          <w:r>
            <w:rPr>
              <w:rFonts w:hint="eastAsia" w:ascii="楷体" w:hAnsi="楷体" w:eastAsia="楷体" w:cs="楷体"/>
              <w:i w:val="0"/>
              <w:caps w:val="0"/>
              <w:color w:val="auto"/>
              <w:spacing w:val="0"/>
              <w:sz w:val="28"/>
              <w:szCs w:val="40"/>
            </w:rPr>
            <w:fldChar w:fldCharType="begin"/>
          </w:r>
          <w:r>
            <w:rPr>
              <w:rFonts w:hint="eastAsia" w:ascii="楷体" w:hAnsi="楷体" w:eastAsia="楷体" w:cs="楷体"/>
              <w:i w:val="0"/>
              <w:caps w:val="0"/>
              <w:spacing w:val="0"/>
              <w:sz w:val="28"/>
              <w:szCs w:val="40"/>
            </w:rPr>
            <w:instrText xml:space="preserve"> HYPERLINK \l _Toc14423 </w:instrText>
          </w:r>
          <w:r>
            <w:rPr>
              <w:rFonts w:hint="eastAsia" w:ascii="楷体" w:hAnsi="楷体" w:eastAsia="楷体" w:cs="楷体"/>
              <w:i w:val="0"/>
              <w:caps w:val="0"/>
              <w:spacing w:val="0"/>
              <w:sz w:val="28"/>
              <w:szCs w:val="40"/>
            </w:rPr>
            <w:fldChar w:fldCharType="separate"/>
          </w:r>
          <w:r>
            <w:rPr>
              <w:rFonts w:hint="eastAsia" w:ascii="楷体" w:hAnsi="楷体" w:eastAsia="楷体" w:cs="楷体"/>
              <w:sz w:val="28"/>
              <w:szCs w:val="36"/>
            </w:rPr>
            <w:t>海水和火焰</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_Toc14423 </w:instrText>
          </w:r>
          <w:r>
            <w:rPr>
              <w:rFonts w:hint="eastAsia" w:ascii="楷体" w:hAnsi="楷体" w:eastAsia="楷体" w:cs="楷体"/>
              <w:sz w:val="28"/>
              <w:szCs w:val="36"/>
            </w:rPr>
            <w:fldChar w:fldCharType="separate"/>
          </w:r>
          <w:r>
            <w:rPr>
              <w:rFonts w:hint="eastAsia" w:ascii="楷体" w:hAnsi="楷体" w:eastAsia="楷体" w:cs="楷体"/>
              <w:sz w:val="28"/>
              <w:szCs w:val="36"/>
            </w:rPr>
            <w:t>12</w:t>
          </w:r>
          <w:r>
            <w:rPr>
              <w:rFonts w:hint="eastAsia" w:ascii="楷体" w:hAnsi="楷体" w:eastAsia="楷体" w:cs="楷体"/>
              <w:sz w:val="28"/>
              <w:szCs w:val="36"/>
            </w:rPr>
            <w:fldChar w:fldCharType="end"/>
          </w:r>
          <w:r>
            <w:rPr>
              <w:rFonts w:hint="eastAsia" w:ascii="楷体" w:hAnsi="楷体" w:eastAsia="楷体" w:cs="楷体"/>
              <w:i w:val="0"/>
              <w:caps w:val="0"/>
              <w:color w:val="auto"/>
              <w:spacing w:val="0"/>
              <w:sz w:val="28"/>
              <w:szCs w:val="40"/>
            </w:rPr>
            <w:fldChar w:fldCharType="end"/>
          </w:r>
        </w:p>
        <w:p>
          <w:pPr>
            <w:pStyle w:val="7"/>
            <w:pageBreakBefore w:val="0"/>
            <w:tabs>
              <w:tab w:val="right" w:leader="dot" w:pos="8306"/>
            </w:tabs>
            <w:kinsoku/>
            <w:overflowPunct/>
            <w:topLinePunct w:val="0"/>
            <w:autoSpaceDE/>
            <w:autoSpaceDN/>
            <w:bidi w:val="0"/>
            <w:adjustRightInd/>
            <w:snapToGrid/>
            <w:ind w:firstLine="560" w:firstLineChars="200"/>
            <w:rPr>
              <w:rFonts w:hint="eastAsia" w:ascii="楷体" w:hAnsi="楷体" w:eastAsia="楷体" w:cs="楷体"/>
              <w:sz w:val="28"/>
              <w:szCs w:val="36"/>
            </w:rPr>
          </w:pPr>
          <w:r>
            <w:rPr>
              <w:rFonts w:hint="eastAsia" w:ascii="楷体" w:hAnsi="楷体" w:eastAsia="楷体" w:cs="楷体"/>
              <w:i w:val="0"/>
              <w:caps w:val="0"/>
              <w:color w:val="auto"/>
              <w:spacing w:val="0"/>
              <w:sz w:val="28"/>
              <w:szCs w:val="40"/>
            </w:rPr>
            <w:fldChar w:fldCharType="begin"/>
          </w:r>
          <w:r>
            <w:rPr>
              <w:rFonts w:hint="eastAsia" w:ascii="楷体" w:hAnsi="楷体" w:eastAsia="楷体" w:cs="楷体"/>
              <w:i w:val="0"/>
              <w:caps w:val="0"/>
              <w:spacing w:val="0"/>
              <w:sz w:val="28"/>
              <w:szCs w:val="40"/>
            </w:rPr>
            <w:instrText xml:space="preserve"> HYPERLINK \l _Toc15157 </w:instrText>
          </w:r>
          <w:r>
            <w:rPr>
              <w:rFonts w:hint="eastAsia" w:ascii="楷体" w:hAnsi="楷体" w:eastAsia="楷体" w:cs="楷体"/>
              <w:i w:val="0"/>
              <w:caps w:val="0"/>
              <w:spacing w:val="0"/>
              <w:sz w:val="28"/>
              <w:szCs w:val="40"/>
            </w:rPr>
            <w:fldChar w:fldCharType="separate"/>
          </w:r>
          <w:r>
            <w:rPr>
              <w:rFonts w:hint="eastAsia" w:ascii="楷体" w:hAnsi="楷体" w:eastAsia="楷体" w:cs="楷体"/>
              <w:sz w:val="28"/>
              <w:szCs w:val="36"/>
            </w:rPr>
            <w:t>独立思考</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_Toc15157 </w:instrText>
          </w:r>
          <w:r>
            <w:rPr>
              <w:rFonts w:hint="eastAsia" w:ascii="楷体" w:hAnsi="楷体" w:eastAsia="楷体" w:cs="楷体"/>
              <w:sz w:val="28"/>
              <w:szCs w:val="36"/>
            </w:rPr>
            <w:fldChar w:fldCharType="separate"/>
          </w:r>
          <w:r>
            <w:rPr>
              <w:rFonts w:hint="eastAsia" w:ascii="楷体" w:hAnsi="楷体" w:eastAsia="楷体" w:cs="楷体"/>
              <w:sz w:val="28"/>
              <w:szCs w:val="36"/>
            </w:rPr>
            <w:t>14</w:t>
          </w:r>
          <w:r>
            <w:rPr>
              <w:rFonts w:hint="eastAsia" w:ascii="楷体" w:hAnsi="楷体" w:eastAsia="楷体" w:cs="楷体"/>
              <w:sz w:val="28"/>
              <w:szCs w:val="36"/>
            </w:rPr>
            <w:fldChar w:fldCharType="end"/>
          </w:r>
          <w:r>
            <w:rPr>
              <w:rFonts w:hint="eastAsia" w:ascii="楷体" w:hAnsi="楷体" w:eastAsia="楷体" w:cs="楷体"/>
              <w:i w:val="0"/>
              <w:caps w:val="0"/>
              <w:color w:val="auto"/>
              <w:spacing w:val="0"/>
              <w:sz w:val="28"/>
              <w:szCs w:val="40"/>
            </w:rPr>
            <w:fldChar w:fldCharType="end"/>
          </w:r>
        </w:p>
        <w:p>
          <w:pPr>
            <w:pStyle w:val="7"/>
            <w:pageBreakBefore w:val="0"/>
            <w:tabs>
              <w:tab w:val="right" w:leader="dot" w:pos="8306"/>
            </w:tabs>
            <w:kinsoku/>
            <w:overflowPunct/>
            <w:topLinePunct w:val="0"/>
            <w:autoSpaceDE/>
            <w:autoSpaceDN/>
            <w:bidi w:val="0"/>
            <w:adjustRightInd/>
            <w:snapToGrid/>
            <w:ind w:firstLine="560" w:firstLineChars="200"/>
            <w:rPr>
              <w:rFonts w:hint="eastAsia" w:ascii="楷体" w:hAnsi="楷体" w:eastAsia="楷体" w:cs="楷体"/>
              <w:sz w:val="28"/>
              <w:szCs w:val="36"/>
            </w:rPr>
          </w:pPr>
          <w:r>
            <w:rPr>
              <w:rFonts w:hint="eastAsia" w:ascii="楷体" w:hAnsi="楷体" w:eastAsia="楷体" w:cs="楷体"/>
              <w:i w:val="0"/>
              <w:caps w:val="0"/>
              <w:color w:val="auto"/>
              <w:spacing w:val="0"/>
              <w:sz w:val="28"/>
              <w:szCs w:val="40"/>
            </w:rPr>
            <w:fldChar w:fldCharType="begin"/>
          </w:r>
          <w:r>
            <w:rPr>
              <w:rFonts w:hint="eastAsia" w:ascii="楷体" w:hAnsi="楷体" w:eastAsia="楷体" w:cs="楷体"/>
              <w:i w:val="0"/>
              <w:caps w:val="0"/>
              <w:spacing w:val="0"/>
              <w:sz w:val="28"/>
              <w:szCs w:val="40"/>
            </w:rPr>
            <w:instrText xml:space="preserve"> HYPERLINK \l _Toc1654 </w:instrText>
          </w:r>
          <w:r>
            <w:rPr>
              <w:rFonts w:hint="eastAsia" w:ascii="楷体" w:hAnsi="楷体" w:eastAsia="楷体" w:cs="楷体"/>
              <w:i w:val="0"/>
              <w:caps w:val="0"/>
              <w:spacing w:val="0"/>
              <w:sz w:val="28"/>
              <w:szCs w:val="40"/>
            </w:rPr>
            <w:fldChar w:fldCharType="separate"/>
          </w:r>
          <w:r>
            <w:rPr>
              <w:rFonts w:hint="eastAsia" w:ascii="楷体" w:hAnsi="楷体" w:eastAsia="楷体" w:cs="楷体"/>
              <w:sz w:val="28"/>
              <w:szCs w:val="36"/>
            </w:rPr>
            <w:t>事情的两面</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_Toc1654 </w:instrText>
          </w:r>
          <w:r>
            <w:rPr>
              <w:rFonts w:hint="eastAsia" w:ascii="楷体" w:hAnsi="楷体" w:eastAsia="楷体" w:cs="楷体"/>
              <w:sz w:val="28"/>
              <w:szCs w:val="36"/>
            </w:rPr>
            <w:fldChar w:fldCharType="separate"/>
          </w:r>
          <w:r>
            <w:rPr>
              <w:rFonts w:hint="eastAsia" w:ascii="楷体" w:hAnsi="楷体" w:eastAsia="楷体" w:cs="楷体"/>
              <w:sz w:val="28"/>
              <w:szCs w:val="36"/>
            </w:rPr>
            <w:t>16</w:t>
          </w:r>
          <w:r>
            <w:rPr>
              <w:rFonts w:hint="eastAsia" w:ascii="楷体" w:hAnsi="楷体" w:eastAsia="楷体" w:cs="楷体"/>
              <w:sz w:val="28"/>
              <w:szCs w:val="36"/>
            </w:rPr>
            <w:fldChar w:fldCharType="end"/>
          </w:r>
          <w:r>
            <w:rPr>
              <w:rFonts w:hint="eastAsia" w:ascii="楷体" w:hAnsi="楷体" w:eastAsia="楷体" w:cs="楷体"/>
              <w:i w:val="0"/>
              <w:caps w:val="0"/>
              <w:color w:val="auto"/>
              <w:spacing w:val="0"/>
              <w:sz w:val="28"/>
              <w:szCs w:val="40"/>
            </w:rPr>
            <w:fldChar w:fldCharType="end"/>
          </w:r>
        </w:p>
        <w:p>
          <w:pPr>
            <w:pStyle w:val="7"/>
            <w:pageBreakBefore w:val="0"/>
            <w:tabs>
              <w:tab w:val="right" w:leader="dot" w:pos="8306"/>
            </w:tabs>
            <w:kinsoku/>
            <w:overflowPunct/>
            <w:topLinePunct w:val="0"/>
            <w:autoSpaceDE/>
            <w:autoSpaceDN/>
            <w:bidi w:val="0"/>
            <w:adjustRightInd/>
            <w:snapToGrid/>
            <w:ind w:firstLine="560" w:firstLineChars="200"/>
            <w:rPr>
              <w:rFonts w:hint="eastAsia" w:ascii="楷体" w:hAnsi="楷体" w:eastAsia="楷体" w:cs="楷体"/>
              <w:sz w:val="28"/>
              <w:szCs w:val="36"/>
            </w:rPr>
          </w:pPr>
          <w:r>
            <w:rPr>
              <w:rFonts w:hint="eastAsia" w:ascii="楷体" w:hAnsi="楷体" w:eastAsia="楷体" w:cs="楷体"/>
              <w:i w:val="0"/>
              <w:caps w:val="0"/>
              <w:color w:val="auto"/>
              <w:spacing w:val="0"/>
              <w:sz w:val="28"/>
              <w:szCs w:val="40"/>
            </w:rPr>
            <w:fldChar w:fldCharType="begin"/>
          </w:r>
          <w:r>
            <w:rPr>
              <w:rFonts w:hint="eastAsia" w:ascii="楷体" w:hAnsi="楷体" w:eastAsia="楷体" w:cs="楷体"/>
              <w:i w:val="0"/>
              <w:caps w:val="0"/>
              <w:spacing w:val="0"/>
              <w:sz w:val="28"/>
              <w:szCs w:val="40"/>
            </w:rPr>
            <w:instrText xml:space="preserve"> HYPERLINK \l _Toc31828 </w:instrText>
          </w:r>
          <w:r>
            <w:rPr>
              <w:rFonts w:hint="eastAsia" w:ascii="楷体" w:hAnsi="楷体" w:eastAsia="楷体" w:cs="楷体"/>
              <w:i w:val="0"/>
              <w:caps w:val="0"/>
              <w:spacing w:val="0"/>
              <w:sz w:val="28"/>
              <w:szCs w:val="40"/>
            </w:rPr>
            <w:fldChar w:fldCharType="separate"/>
          </w:r>
          <w:r>
            <w:rPr>
              <w:rFonts w:hint="eastAsia" w:ascii="楷体" w:hAnsi="楷体" w:eastAsia="楷体" w:cs="楷体"/>
              <w:sz w:val="28"/>
              <w:szCs w:val="36"/>
            </w:rPr>
            <w:t>医药股板块投资性价比相对更高</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_Toc31828 </w:instrText>
          </w:r>
          <w:r>
            <w:rPr>
              <w:rFonts w:hint="eastAsia" w:ascii="楷体" w:hAnsi="楷体" w:eastAsia="楷体" w:cs="楷体"/>
              <w:sz w:val="28"/>
              <w:szCs w:val="36"/>
            </w:rPr>
            <w:fldChar w:fldCharType="separate"/>
          </w:r>
          <w:r>
            <w:rPr>
              <w:rFonts w:hint="eastAsia" w:ascii="楷体" w:hAnsi="楷体" w:eastAsia="楷体" w:cs="楷体"/>
              <w:sz w:val="28"/>
              <w:szCs w:val="36"/>
            </w:rPr>
            <w:t>18</w:t>
          </w:r>
          <w:r>
            <w:rPr>
              <w:rFonts w:hint="eastAsia" w:ascii="楷体" w:hAnsi="楷体" w:eastAsia="楷体" w:cs="楷体"/>
              <w:sz w:val="28"/>
              <w:szCs w:val="36"/>
            </w:rPr>
            <w:fldChar w:fldCharType="end"/>
          </w:r>
          <w:r>
            <w:rPr>
              <w:rFonts w:hint="eastAsia" w:ascii="楷体" w:hAnsi="楷体" w:eastAsia="楷体" w:cs="楷体"/>
              <w:i w:val="0"/>
              <w:caps w:val="0"/>
              <w:color w:val="auto"/>
              <w:spacing w:val="0"/>
              <w:sz w:val="28"/>
              <w:szCs w:val="40"/>
            </w:rPr>
            <w:fldChar w:fldCharType="end"/>
          </w:r>
        </w:p>
        <w:p>
          <w:pPr>
            <w:pStyle w:val="7"/>
            <w:pageBreakBefore w:val="0"/>
            <w:tabs>
              <w:tab w:val="right" w:leader="dot" w:pos="8306"/>
            </w:tabs>
            <w:kinsoku/>
            <w:overflowPunct/>
            <w:topLinePunct w:val="0"/>
            <w:autoSpaceDE/>
            <w:autoSpaceDN/>
            <w:bidi w:val="0"/>
            <w:adjustRightInd/>
            <w:snapToGrid/>
            <w:ind w:firstLine="560" w:firstLineChars="200"/>
            <w:rPr>
              <w:rFonts w:hint="eastAsia" w:ascii="楷体" w:hAnsi="楷体" w:eastAsia="楷体" w:cs="楷体"/>
              <w:sz w:val="28"/>
              <w:szCs w:val="36"/>
            </w:rPr>
          </w:pPr>
          <w:r>
            <w:rPr>
              <w:rFonts w:hint="eastAsia" w:ascii="楷体" w:hAnsi="楷体" w:eastAsia="楷体" w:cs="楷体"/>
              <w:i w:val="0"/>
              <w:caps w:val="0"/>
              <w:color w:val="auto"/>
              <w:spacing w:val="0"/>
              <w:sz w:val="28"/>
              <w:szCs w:val="40"/>
            </w:rPr>
            <w:fldChar w:fldCharType="begin"/>
          </w:r>
          <w:r>
            <w:rPr>
              <w:rFonts w:hint="eastAsia" w:ascii="楷体" w:hAnsi="楷体" w:eastAsia="楷体" w:cs="楷体"/>
              <w:i w:val="0"/>
              <w:caps w:val="0"/>
              <w:spacing w:val="0"/>
              <w:sz w:val="28"/>
              <w:szCs w:val="40"/>
            </w:rPr>
            <w:instrText xml:space="preserve"> HYPERLINK \l _Toc23117 </w:instrText>
          </w:r>
          <w:r>
            <w:rPr>
              <w:rFonts w:hint="eastAsia" w:ascii="楷体" w:hAnsi="楷体" w:eastAsia="楷体" w:cs="楷体"/>
              <w:i w:val="0"/>
              <w:caps w:val="0"/>
              <w:spacing w:val="0"/>
              <w:sz w:val="28"/>
              <w:szCs w:val="40"/>
            </w:rPr>
            <w:fldChar w:fldCharType="separate"/>
          </w:r>
          <w:r>
            <w:rPr>
              <w:rFonts w:hint="eastAsia" w:ascii="楷体" w:hAnsi="楷体" w:eastAsia="楷体" w:cs="楷体"/>
              <w:sz w:val="28"/>
              <w:szCs w:val="36"/>
              <w:lang w:val="en-US" w:eastAsia="zh-CN"/>
            </w:rPr>
            <w:t>从几个指数表现差异的随想</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_Toc23117 </w:instrText>
          </w:r>
          <w:r>
            <w:rPr>
              <w:rFonts w:hint="eastAsia" w:ascii="楷体" w:hAnsi="楷体" w:eastAsia="楷体" w:cs="楷体"/>
              <w:sz w:val="28"/>
              <w:szCs w:val="36"/>
            </w:rPr>
            <w:fldChar w:fldCharType="separate"/>
          </w:r>
          <w:r>
            <w:rPr>
              <w:rFonts w:hint="eastAsia" w:ascii="楷体" w:hAnsi="楷体" w:eastAsia="楷体" w:cs="楷体"/>
              <w:sz w:val="28"/>
              <w:szCs w:val="36"/>
            </w:rPr>
            <w:t>21</w:t>
          </w:r>
          <w:r>
            <w:rPr>
              <w:rFonts w:hint="eastAsia" w:ascii="楷体" w:hAnsi="楷体" w:eastAsia="楷体" w:cs="楷体"/>
              <w:sz w:val="28"/>
              <w:szCs w:val="36"/>
            </w:rPr>
            <w:fldChar w:fldCharType="end"/>
          </w:r>
          <w:r>
            <w:rPr>
              <w:rFonts w:hint="eastAsia" w:ascii="楷体" w:hAnsi="楷体" w:eastAsia="楷体" w:cs="楷体"/>
              <w:i w:val="0"/>
              <w:caps w:val="0"/>
              <w:color w:val="auto"/>
              <w:spacing w:val="0"/>
              <w:sz w:val="28"/>
              <w:szCs w:val="40"/>
            </w:rPr>
            <w:fldChar w:fldCharType="end"/>
          </w:r>
        </w:p>
        <w:p>
          <w:pPr>
            <w:pStyle w:val="7"/>
            <w:pageBreakBefore w:val="0"/>
            <w:tabs>
              <w:tab w:val="right" w:leader="dot" w:pos="8306"/>
            </w:tabs>
            <w:kinsoku/>
            <w:overflowPunct/>
            <w:topLinePunct w:val="0"/>
            <w:autoSpaceDE/>
            <w:autoSpaceDN/>
            <w:bidi w:val="0"/>
            <w:adjustRightInd/>
            <w:snapToGrid/>
            <w:ind w:firstLine="560" w:firstLineChars="200"/>
            <w:rPr>
              <w:rFonts w:hint="eastAsia" w:ascii="楷体" w:hAnsi="楷体" w:eastAsia="楷体" w:cs="楷体"/>
              <w:sz w:val="28"/>
              <w:szCs w:val="36"/>
            </w:rPr>
          </w:pPr>
          <w:r>
            <w:rPr>
              <w:rFonts w:hint="eastAsia" w:ascii="楷体" w:hAnsi="楷体" w:eastAsia="楷体" w:cs="楷体"/>
              <w:i w:val="0"/>
              <w:caps w:val="0"/>
              <w:color w:val="auto"/>
              <w:spacing w:val="0"/>
              <w:sz w:val="28"/>
              <w:szCs w:val="40"/>
            </w:rPr>
            <w:fldChar w:fldCharType="begin"/>
          </w:r>
          <w:r>
            <w:rPr>
              <w:rFonts w:hint="eastAsia" w:ascii="楷体" w:hAnsi="楷体" w:eastAsia="楷体" w:cs="楷体"/>
              <w:i w:val="0"/>
              <w:caps w:val="0"/>
              <w:spacing w:val="0"/>
              <w:sz w:val="28"/>
              <w:szCs w:val="40"/>
            </w:rPr>
            <w:instrText xml:space="preserve"> HYPERLINK \l _Toc28247 </w:instrText>
          </w:r>
          <w:r>
            <w:rPr>
              <w:rFonts w:hint="eastAsia" w:ascii="楷体" w:hAnsi="楷体" w:eastAsia="楷体" w:cs="楷体"/>
              <w:i w:val="0"/>
              <w:caps w:val="0"/>
              <w:spacing w:val="0"/>
              <w:sz w:val="28"/>
              <w:szCs w:val="40"/>
            </w:rPr>
            <w:fldChar w:fldCharType="separate"/>
          </w:r>
          <w:r>
            <w:rPr>
              <w:rFonts w:hint="eastAsia" w:ascii="楷体" w:hAnsi="楷体" w:eastAsia="楷体" w:cs="楷体"/>
              <w:sz w:val="28"/>
              <w:szCs w:val="44"/>
            </w:rPr>
            <w:t>价值投资适合中国国情</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_Toc28247 </w:instrText>
          </w:r>
          <w:r>
            <w:rPr>
              <w:rFonts w:hint="eastAsia" w:ascii="楷体" w:hAnsi="楷体" w:eastAsia="楷体" w:cs="楷体"/>
              <w:sz w:val="28"/>
              <w:szCs w:val="36"/>
            </w:rPr>
            <w:fldChar w:fldCharType="separate"/>
          </w:r>
          <w:r>
            <w:rPr>
              <w:rFonts w:hint="eastAsia" w:ascii="楷体" w:hAnsi="楷体" w:eastAsia="楷体" w:cs="楷体"/>
              <w:sz w:val="28"/>
              <w:szCs w:val="36"/>
            </w:rPr>
            <w:t>24</w:t>
          </w:r>
          <w:r>
            <w:rPr>
              <w:rFonts w:hint="eastAsia" w:ascii="楷体" w:hAnsi="楷体" w:eastAsia="楷体" w:cs="楷体"/>
              <w:sz w:val="28"/>
              <w:szCs w:val="36"/>
            </w:rPr>
            <w:fldChar w:fldCharType="end"/>
          </w:r>
          <w:r>
            <w:rPr>
              <w:rFonts w:hint="eastAsia" w:ascii="楷体" w:hAnsi="楷体" w:eastAsia="楷体" w:cs="楷体"/>
              <w:i w:val="0"/>
              <w:caps w:val="0"/>
              <w:color w:val="auto"/>
              <w:spacing w:val="0"/>
              <w:sz w:val="28"/>
              <w:szCs w:val="40"/>
            </w:rPr>
            <w:fldChar w:fldCharType="end"/>
          </w:r>
        </w:p>
        <w:p>
          <w:pPr>
            <w:pStyle w:val="7"/>
            <w:pageBreakBefore w:val="0"/>
            <w:tabs>
              <w:tab w:val="right" w:leader="dot" w:pos="8306"/>
            </w:tabs>
            <w:kinsoku/>
            <w:overflowPunct/>
            <w:topLinePunct w:val="0"/>
            <w:autoSpaceDE/>
            <w:autoSpaceDN/>
            <w:bidi w:val="0"/>
            <w:adjustRightInd/>
            <w:snapToGrid/>
            <w:ind w:firstLine="560" w:firstLineChars="200"/>
            <w:rPr>
              <w:rFonts w:hint="eastAsia" w:ascii="楷体" w:hAnsi="楷体" w:eastAsia="楷体" w:cs="楷体"/>
              <w:sz w:val="28"/>
              <w:szCs w:val="36"/>
            </w:rPr>
          </w:pPr>
          <w:r>
            <w:rPr>
              <w:rFonts w:hint="eastAsia" w:ascii="楷体" w:hAnsi="楷体" w:eastAsia="楷体" w:cs="楷体"/>
              <w:i w:val="0"/>
              <w:caps w:val="0"/>
              <w:color w:val="auto"/>
              <w:spacing w:val="0"/>
              <w:sz w:val="28"/>
              <w:szCs w:val="40"/>
            </w:rPr>
            <w:fldChar w:fldCharType="begin"/>
          </w:r>
          <w:r>
            <w:rPr>
              <w:rFonts w:hint="eastAsia" w:ascii="楷体" w:hAnsi="楷体" w:eastAsia="楷体" w:cs="楷体"/>
              <w:i w:val="0"/>
              <w:caps w:val="0"/>
              <w:spacing w:val="0"/>
              <w:sz w:val="28"/>
              <w:szCs w:val="40"/>
            </w:rPr>
            <w:instrText xml:space="preserve"> HYPERLINK \l _Toc8775 </w:instrText>
          </w:r>
          <w:r>
            <w:rPr>
              <w:rFonts w:hint="eastAsia" w:ascii="楷体" w:hAnsi="楷体" w:eastAsia="楷体" w:cs="楷体"/>
              <w:i w:val="0"/>
              <w:caps w:val="0"/>
              <w:spacing w:val="0"/>
              <w:sz w:val="28"/>
              <w:szCs w:val="40"/>
            </w:rPr>
            <w:fldChar w:fldCharType="separate"/>
          </w:r>
          <w:r>
            <w:rPr>
              <w:rFonts w:hint="eastAsia" w:ascii="楷体" w:hAnsi="楷体" w:eastAsia="楷体" w:cs="楷体"/>
              <w:sz w:val="28"/>
              <w:szCs w:val="36"/>
            </w:rPr>
            <w:t>耐心的力量</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_Toc8775 </w:instrText>
          </w:r>
          <w:r>
            <w:rPr>
              <w:rFonts w:hint="eastAsia" w:ascii="楷体" w:hAnsi="楷体" w:eastAsia="楷体" w:cs="楷体"/>
              <w:sz w:val="28"/>
              <w:szCs w:val="36"/>
            </w:rPr>
            <w:fldChar w:fldCharType="separate"/>
          </w:r>
          <w:r>
            <w:rPr>
              <w:rFonts w:hint="eastAsia" w:ascii="楷体" w:hAnsi="楷体" w:eastAsia="楷体" w:cs="楷体"/>
              <w:sz w:val="28"/>
              <w:szCs w:val="36"/>
            </w:rPr>
            <w:t>27</w:t>
          </w:r>
          <w:r>
            <w:rPr>
              <w:rFonts w:hint="eastAsia" w:ascii="楷体" w:hAnsi="楷体" w:eastAsia="楷体" w:cs="楷体"/>
              <w:sz w:val="28"/>
              <w:szCs w:val="36"/>
            </w:rPr>
            <w:fldChar w:fldCharType="end"/>
          </w:r>
          <w:r>
            <w:rPr>
              <w:rFonts w:hint="eastAsia" w:ascii="楷体" w:hAnsi="楷体" w:eastAsia="楷体" w:cs="楷体"/>
              <w:i w:val="0"/>
              <w:caps w:val="0"/>
              <w:color w:val="auto"/>
              <w:spacing w:val="0"/>
              <w:sz w:val="28"/>
              <w:szCs w:val="40"/>
            </w:rPr>
            <w:fldChar w:fldCharType="end"/>
          </w:r>
        </w:p>
        <w:p>
          <w:pPr>
            <w:pStyle w:val="7"/>
            <w:pageBreakBefore w:val="0"/>
            <w:tabs>
              <w:tab w:val="right" w:leader="dot" w:pos="8306"/>
            </w:tabs>
            <w:kinsoku/>
            <w:overflowPunct/>
            <w:topLinePunct w:val="0"/>
            <w:autoSpaceDE/>
            <w:autoSpaceDN/>
            <w:bidi w:val="0"/>
            <w:adjustRightInd/>
            <w:snapToGrid/>
            <w:ind w:firstLine="560" w:firstLineChars="200"/>
            <w:rPr>
              <w:rFonts w:hint="eastAsia" w:ascii="楷体" w:hAnsi="楷体" w:eastAsia="楷体" w:cs="楷体"/>
              <w:sz w:val="28"/>
              <w:szCs w:val="36"/>
            </w:rPr>
          </w:pPr>
          <w:r>
            <w:rPr>
              <w:rFonts w:hint="eastAsia" w:ascii="楷体" w:hAnsi="楷体" w:eastAsia="楷体" w:cs="楷体"/>
              <w:i w:val="0"/>
              <w:caps w:val="0"/>
              <w:color w:val="auto"/>
              <w:spacing w:val="0"/>
              <w:sz w:val="28"/>
              <w:szCs w:val="40"/>
            </w:rPr>
            <w:fldChar w:fldCharType="begin"/>
          </w:r>
          <w:r>
            <w:rPr>
              <w:rFonts w:hint="eastAsia" w:ascii="楷体" w:hAnsi="楷体" w:eastAsia="楷体" w:cs="楷体"/>
              <w:i w:val="0"/>
              <w:caps w:val="0"/>
              <w:spacing w:val="0"/>
              <w:sz w:val="28"/>
              <w:szCs w:val="40"/>
            </w:rPr>
            <w:instrText xml:space="preserve"> HYPERLINK \l _Toc2171 </w:instrText>
          </w:r>
          <w:r>
            <w:rPr>
              <w:rFonts w:hint="eastAsia" w:ascii="楷体" w:hAnsi="楷体" w:eastAsia="楷体" w:cs="楷体"/>
              <w:i w:val="0"/>
              <w:caps w:val="0"/>
              <w:spacing w:val="0"/>
              <w:sz w:val="28"/>
              <w:szCs w:val="40"/>
            </w:rPr>
            <w:fldChar w:fldCharType="separate"/>
          </w:r>
          <w:r>
            <w:rPr>
              <w:rFonts w:hint="eastAsia" w:ascii="楷体" w:hAnsi="楷体" w:eastAsia="楷体" w:cs="楷体"/>
              <w:sz w:val="28"/>
              <w:szCs w:val="36"/>
            </w:rPr>
            <w:t>发掘高质量成长公司并长期坚定持有</w:t>
          </w:r>
          <w:r>
            <w:rPr>
              <w:rFonts w:hint="eastAsia" w:ascii="楷体" w:hAnsi="楷体" w:eastAsia="楷体" w:cs="楷体"/>
              <w:sz w:val="28"/>
              <w:szCs w:val="36"/>
            </w:rPr>
            <w:tab/>
          </w:r>
          <w:r>
            <w:rPr>
              <w:rFonts w:hint="eastAsia" w:ascii="楷体" w:hAnsi="楷体" w:eastAsia="楷体" w:cs="楷体"/>
              <w:sz w:val="28"/>
              <w:szCs w:val="36"/>
            </w:rPr>
            <w:fldChar w:fldCharType="begin"/>
          </w:r>
          <w:r>
            <w:rPr>
              <w:rFonts w:hint="eastAsia" w:ascii="楷体" w:hAnsi="楷体" w:eastAsia="楷体" w:cs="楷体"/>
              <w:sz w:val="28"/>
              <w:szCs w:val="36"/>
            </w:rPr>
            <w:instrText xml:space="preserve"> PAGEREF _Toc2171 </w:instrText>
          </w:r>
          <w:r>
            <w:rPr>
              <w:rFonts w:hint="eastAsia" w:ascii="楷体" w:hAnsi="楷体" w:eastAsia="楷体" w:cs="楷体"/>
              <w:sz w:val="28"/>
              <w:szCs w:val="36"/>
            </w:rPr>
            <w:fldChar w:fldCharType="separate"/>
          </w:r>
          <w:r>
            <w:rPr>
              <w:rFonts w:hint="eastAsia" w:ascii="楷体" w:hAnsi="楷体" w:eastAsia="楷体" w:cs="楷体"/>
              <w:sz w:val="28"/>
              <w:szCs w:val="36"/>
            </w:rPr>
            <w:t>32</w:t>
          </w:r>
          <w:r>
            <w:rPr>
              <w:rFonts w:hint="eastAsia" w:ascii="楷体" w:hAnsi="楷体" w:eastAsia="楷体" w:cs="楷体"/>
              <w:sz w:val="28"/>
              <w:szCs w:val="36"/>
            </w:rPr>
            <w:fldChar w:fldCharType="end"/>
          </w:r>
          <w:r>
            <w:rPr>
              <w:rFonts w:hint="eastAsia" w:ascii="楷体" w:hAnsi="楷体" w:eastAsia="楷体" w:cs="楷体"/>
              <w:i w:val="0"/>
              <w:caps w:val="0"/>
              <w:color w:val="auto"/>
              <w:spacing w:val="0"/>
              <w:sz w:val="28"/>
              <w:szCs w:val="40"/>
            </w:rPr>
            <w:fldChar w:fldCharType="end"/>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720" w:firstLineChars="200"/>
            <w:rPr>
              <w:rFonts w:hint="eastAsia" w:ascii="楷体" w:hAnsi="楷体" w:eastAsia="楷体" w:cs="楷体"/>
              <w:i w:val="0"/>
              <w:caps w:val="0"/>
              <w:color w:val="auto"/>
              <w:spacing w:val="0"/>
              <w:sz w:val="40"/>
              <w:szCs w:val="40"/>
            </w:rPr>
          </w:pPr>
          <w:r>
            <w:rPr>
              <w:rFonts w:hint="eastAsia" w:ascii="楷体" w:hAnsi="楷体" w:eastAsia="楷体" w:cs="楷体"/>
              <w:i w:val="0"/>
              <w:caps w:val="0"/>
              <w:color w:val="auto"/>
              <w:spacing w:val="0"/>
              <w:sz w:val="36"/>
              <w:szCs w:val="40"/>
            </w:rPr>
            <w:fldChar w:fldCharType="end"/>
          </w:r>
        </w:p>
      </w:sdtContent>
    </w:sdt>
    <w:p>
      <w:pPr>
        <w:pStyle w:val="3"/>
        <w:pageBreakBefore w:val="0"/>
        <w:kinsoku/>
        <w:overflowPunct/>
        <w:topLinePunct w:val="0"/>
        <w:autoSpaceDE/>
        <w:autoSpaceDN/>
        <w:bidi w:val="0"/>
        <w:adjustRightInd/>
        <w:snapToGrid/>
        <w:ind w:firstLine="643" w:firstLineChars="200"/>
        <w:jc w:val="center"/>
        <w:rPr>
          <w:rFonts w:hint="eastAsia"/>
          <w:color w:val="auto"/>
        </w:rPr>
      </w:pPr>
      <w:bookmarkStart w:id="0" w:name="_Toc23352"/>
      <w:r>
        <w:rPr>
          <w:rFonts w:hint="eastAsia"/>
          <w:color w:val="auto"/>
        </w:rPr>
        <w:t>大道至简</w:t>
      </w:r>
      <w:bookmarkEnd w:id="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61" w:firstLineChars="200"/>
        <w:jc w:val="center"/>
        <w:rPr>
          <w:rStyle w:val="11"/>
          <w:rFonts w:hint="eastAsia" w:ascii="华文楷体" w:hAnsi="华文楷体" w:eastAsia="华文楷体" w:cs="华文楷体"/>
          <w:b/>
          <w:i w:val="0"/>
          <w:caps w:val="0"/>
          <w:color w:val="auto"/>
          <w:spacing w:val="0"/>
          <w:sz w:val="28"/>
          <w:szCs w:val="28"/>
          <w:shd w:val="clear" w:fill="FFFFFF"/>
          <w:lang w:val="en-US" w:eastAsia="zh-CN"/>
        </w:rPr>
      </w:pPr>
      <w:r>
        <w:rPr>
          <w:rStyle w:val="11"/>
          <w:rFonts w:hint="eastAsia" w:ascii="华文楷体" w:hAnsi="华文楷体" w:eastAsia="华文楷体" w:cs="华文楷体"/>
          <w:b/>
          <w:i w:val="0"/>
          <w:caps w:val="0"/>
          <w:color w:val="auto"/>
          <w:spacing w:val="0"/>
          <w:sz w:val="28"/>
          <w:szCs w:val="28"/>
          <w:shd w:val="clear" w:fill="FFFFFF"/>
          <w:lang w:val="en-US" w:eastAsia="zh-CN"/>
        </w:rPr>
        <w:t>2012.10.22</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rPr>
      </w:pP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rPr>
      </w:pPr>
      <w:r>
        <w:rPr>
          <w:rFonts w:hint="eastAsia" w:ascii="华文楷体" w:hAnsi="华文楷体" w:eastAsia="华文楷体" w:cs="华文楷体"/>
          <w:i w:val="0"/>
          <w:caps w:val="0"/>
          <w:color w:val="auto"/>
          <w:spacing w:val="0"/>
          <w:sz w:val="28"/>
          <w:szCs w:val="28"/>
          <w:shd w:val="clear" w:fill="FFFFFF"/>
        </w:rPr>
        <w:t>这两天出差调研上市公司，晚上打开邮箱发现有400多封未读邮件，除了邮件每天还能收到100多条短信，其中绝大部分是券商同行对行业数据和公司经营情况的跟踪，不禁感慨于跟踪的紧密。</w:t>
      </w:r>
      <w:r>
        <w:rPr>
          <w:rFonts w:hint="eastAsia" w:ascii="华文楷体" w:hAnsi="华文楷体" w:eastAsia="华文楷体" w:cs="华文楷体"/>
          <w:b/>
          <w:bCs/>
          <w:i w:val="0"/>
          <w:caps w:val="0"/>
          <w:color w:val="auto"/>
          <w:spacing w:val="0"/>
          <w:sz w:val="28"/>
          <w:szCs w:val="28"/>
          <w:shd w:val="clear" w:fill="FFFFFF"/>
        </w:rPr>
        <w:t>作为投资人员，每天都能接收海量信息，接收信息的同时不免要思考一下，有没有新的投资机会，原有的持仓要不要调整一下等。 </w:t>
      </w:r>
      <w:r>
        <w:rPr>
          <w:rFonts w:hint="eastAsia" w:ascii="华文楷体" w:hAnsi="华文楷体" w:eastAsia="华文楷体" w:cs="华文楷体"/>
          <w:b/>
          <w:bCs/>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是不是接收的信息越多业绩越好呢？至少有两个伟大的投资者——居住在奥马哈的巴菲特和常住巴哈马的邓普顿，</w:t>
      </w:r>
      <w:r>
        <w:rPr>
          <w:rFonts w:hint="eastAsia" w:ascii="华文楷体" w:hAnsi="华文楷体" w:eastAsia="华文楷体" w:cs="华文楷体"/>
          <w:b/>
          <w:bCs/>
          <w:i w:val="0"/>
          <w:caps w:val="0"/>
          <w:color w:val="auto"/>
          <w:spacing w:val="0"/>
          <w:sz w:val="28"/>
          <w:szCs w:val="28"/>
          <w:shd w:val="clear" w:fill="FFFFFF"/>
        </w:rPr>
        <w:t>在缺少华尔街提供高频信息的环境下，依然取得了卓越的投资业绩。</w:t>
      </w:r>
      <w:r>
        <w:rPr>
          <w:rFonts w:hint="eastAsia" w:ascii="华文楷体" w:hAnsi="华文楷体" w:eastAsia="华文楷体" w:cs="华文楷体"/>
          <w:i w:val="0"/>
          <w:caps w:val="0"/>
          <w:color w:val="auto"/>
          <w:spacing w:val="0"/>
          <w:sz w:val="28"/>
          <w:szCs w:val="28"/>
          <w:shd w:val="clear" w:fill="FFFFFF"/>
        </w:rPr>
        <w:t>伯克希尔哈撒韦的年报显示，其重仓股如可口可乐、美国运通、宝洁、富国银行等，都是人们普遍熟知的公司，</w:t>
      </w:r>
      <w:r>
        <w:rPr>
          <w:rFonts w:hint="eastAsia" w:ascii="华文楷体" w:hAnsi="华文楷体" w:eastAsia="华文楷体" w:cs="华文楷体"/>
          <w:b/>
          <w:bCs/>
          <w:i w:val="0"/>
          <w:caps w:val="0"/>
          <w:color w:val="auto"/>
          <w:spacing w:val="0"/>
          <w:sz w:val="28"/>
          <w:szCs w:val="28"/>
          <w:shd w:val="clear" w:fill="FFFFFF"/>
        </w:rPr>
        <w:t>巴菲特很少因为短期的经营波动调整持仓。相比于不断跟踪企业经营的波动寻找机会，发现并一直持有几家具有长期逻辑的优秀公司似乎更为简单有效。</w:t>
      </w:r>
      <w:r>
        <w:rPr>
          <w:rFonts w:hint="eastAsia" w:ascii="华文楷体" w:hAnsi="华文楷体" w:eastAsia="华文楷体" w:cs="华文楷体"/>
          <w:i w:val="0"/>
          <w:caps w:val="0"/>
          <w:color w:val="auto"/>
          <w:spacing w:val="0"/>
          <w:sz w:val="28"/>
          <w:szCs w:val="28"/>
          <w:shd w:val="clear" w:fill="FFFFFF"/>
        </w:rPr>
        <w:t>像伯克希尔1987年年报中提到的，“能够创造盈余新高的企业，现在做生意的方式通常与其五年前甚至十年前没有多大的差异”。巴菲特数十年践行着朴素的道理——分享具有长期逻辑的伟大企业的成长，并借力保险业务的杠杆效应，成为了几十年来最伟大的投资家。另外，</w:t>
      </w:r>
      <w:r>
        <w:rPr>
          <w:rFonts w:hint="eastAsia" w:ascii="华文楷体" w:hAnsi="华文楷体" w:eastAsia="华文楷体" w:cs="华文楷体"/>
          <w:b/>
          <w:bCs/>
          <w:i w:val="0"/>
          <w:caps w:val="0"/>
          <w:color w:val="auto"/>
          <w:spacing w:val="0"/>
          <w:sz w:val="28"/>
          <w:szCs w:val="28"/>
          <w:shd w:val="clear" w:fill="FFFFFF"/>
        </w:rPr>
        <w:t>对投资来说，复杂的投资逻辑不一定比简单的好，尝试跨七尺高的栏未必比跨一尺高的栏获得的回报更高。</w:t>
      </w:r>
      <w:r>
        <w:rPr>
          <w:rFonts w:hint="eastAsia" w:ascii="华文楷体" w:hAnsi="华文楷体" w:eastAsia="华文楷体" w:cs="华文楷体"/>
          <w:i w:val="0"/>
          <w:caps w:val="0"/>
          <w:color w:val="auto"/>
          <w:spacing w:val="0"/>
          <w:sz w:val="28"/>
          <w:szCs w:val="28"/>
          <w:shd w:val="clear" w:fill="FFFFFF"/>
        </w:rPr>
        <w:t>1999年12月巴朗周刊的封面文章题名《What’s wrong, Warren?》，文章质疑巴菲特错失了科技股的机会，失去了投资的魔力，但没过多久，市场就证明到底是谁错了。 </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回到国内的资本市场，虽然目前整体平淡，但仍然有一些优秀的企业，其利润和股价不断创出历史新高。在中国这个高速发展的经济体中，我们更应该有自信找到简单、清晰、有护城河的上市公司，只要长期逻辑没有改变就持有并分享其成长，而避免博弈短期的波动。投资应该是简单而让人愉悦的，回归投资最朴素的原理，我们到82岁时也能像老巴一样踏着舞步去工作。</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rPr>
      </w:pP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rPr>
          <w:rFonts w:hint="eastAsia" w:ascii="华文楷体" w:hAnsi="华文楷体" w:eastAsia="华文楷体" w:cs="华文楷体"/>
          <w:i w:val="0"/>
          <w:caps w:val="0"/>
          <w:color w:val="auto"/>
          <w:spacing w:val="0"/>
          <w:sz w:val="28"/>
          <w:szCs w:val="28"/>
          <w:lang w:eastAsia="zh-CN"/>
        </w:rPr>
      </w:pPr>
      <w:r>
        <w:rPr>
          <w:rFonts w:hint="eastAsia" w:ascii="华文楷体" w:hAnsi="华文楷体" w:eastAsia="华文楷体" w:cs="华文楷体"/>
          <w:b/>
          <w:bCs/>
          <w:i w:val="0"/>
          <w:caps w:val="0"/>
          <w:color w:val="auto"/>
          <w:spacing w:val="0"/>
          <w:sz w:val="28"/>
          <w:szCs w:val="28"/>
          <w:lang w:eastAsia="zh-CN"/>
        </w:rPr>
        <w:t>零城逆影：</w:t>
      </w:r>
      <w:r>
        <w:rPr>
          <w:rFonts w:hint="eastAsia" w:ascii="华文楷体" w:hAnsi="华文楷体" w:eastAsia="华文楷体" w:cs="华文楷体"/>
          <w:b w:val="0"/>
          <w:bCs w:val="0"/>
          <w:i w:val="0"/>
          <w:caps w:val="0"/>
          <w:color w:val="auto"/>
          <w:spacing w:val="0"/>
          <w:sz w:val="28"/>
          <w:szCs w:val="28"/>
          <w:lang w:eastAsia="zh-CN"/>
        </w:rPr>
        <w:t>这篇文章可以看出，</w:t>
      </w:r>
      <w:r>
        <w:rPr>
          <w:rFonts w:hint="eastAsia" w:ascii="华文楷体" w:hAnsi="华文楷体" w:eastAsia="华文楷体" w:cs="华文楷体"/>
          <w:i w:val="0"/>
          <w:caps w:val="0"/>
          <w:color w:val="auto"/>
          <w:spacing w:val="0"/>
          <w:sz w:val="28"/>
          <w:szCs w:val="28"/>
          <w:lang w:eastAsia="zh-CN"/>
        </w:rPr>
        <w:t>张坤在刚刚接手基金经理时（</w:t>
      </w:r>
      <w:r>
        <w:rPr>
          <w:rFonts w:hint="eastAsia" w:ascii="华文楷体" w:hAnsi="华文楷体" w:eastAsia="华文楷体" w:cs="华文楷体"/>
          <w:i w:val="0"/>
          <w:caps w:val="0"/>
          <w:color w:val="auto"/>
          <w:spacing w:val="0"/>
          <w:sz w:val="28"/>
          <w:szCs w:val="28"/>
          <w:lang w:val="en-US" w:eastAsia="zh-CN"/>
        </w:rPr>
        <w:t>2012.9</w:t>
      </w:r>
      <w:r>
        <w:rPr>
          <w:rFonts w:hint="eastAsia" w:ascii="华文楷体" w:hAnsi="华文楷体" w:eastAsia="华文楷体" w:cs="华文楷体"/>
          <w:i w:val="0"/>
          <w:caps w:val="0"/>
          <w:color w:val="auto"/>
          <w:spacing w:val="0"/>
          <w:sz w:val="28"/>
          <w:szCs w:val="28"/>
          <w:lang w:eastAsia="zh-CN"/>
        </w:rPr>
        <w:t>），就已经是一个深度的巴菲特信徒了。</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lang w:val="en-US" w:eastAsia="zh-CN"/>
        </w:rPr>
      </w:pPr>
      <w:r>
        <w:rPr>
          <w:rFonts w:hint="eastAsia" w:ascii="华文楷体" w:hAnsi="华文楷体" w:eastAsia="华文楷体" w:cs="华文楷体"/>
          <w:i w:val="0"/>
          <w:caps w:val="0"/>
          <w:color w:val="auto"/>
          <w:spacing w:val="0"/>
          <w:sz w:val="28"/>
          <w:szCs w:val="28"/>
          <w:lang w:val="en-US" w:eastAsia="zh-CN"/>
        </w:rPr>
        <w:t>--------------------------------</w:t>
      </w:r>
    </w:p>
    <w:p>
      <w:pPr>
        <w:pStyle w:val="3"/>
        <w:pageBreakBefore w:val="0"/>
        <w:kinsoku/>
        <w:overflowPunct/>
        <w:topLinePunct w:val="0"/>
        <w:autoSpaceDE/>
        <w:autoSpaceDN/>
        <w:bidi w:val="0"/>
        <w:adjustRightInd/>
        <w:snapToGrid/>
        <w:ind w:firstLine="643" w:firstLineChars="200"/>
        <w:jc w:val="center"/>
        <w:rPr>
          <w:rFonts w:hint="eastAsia"/>
          <w:color w:val="auto"/>
        </w:rPr>
      </w:pPr>
      <w:bookmarkStart w:id="1" w:name="_Toc26147"/>
      <w:r>
        <w:rPr>
          <w:rFonts w:hint="eastAsia"/>
          <w:color w:val="auto"/>
        </w:rPr>
        <w:t>分享企业成长</w:t>
      </w:r>
      <w:bookmarkEnd w:id="1"/>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jc w:val="center"/>
        <w:rPr>
          <w:rStyle w:val="11"/>
          <w:rFonts w:hint="eastAsia" w:ascii="华文楷体" w:hAnsi="华文楷体" w:eastAsia="华文楷体" w:cs="华文楷体"/>
          <w:b/>
          <w:i w:val="0"/>
          <w:caps w:val="0"/>
          <w:color w:val="auto"/>
          <w:spacing w:val="0"/>
          <w:sz w:val="28"/>
          <w:szCs w:val="28"/>
          <w:shd w:val="clear" w:fill="FFFFFF"/>
          <w:lang w:val="en-US" w:eastAsia="zh-CN"/>
        </w:rPr>
      </w:pPr>
      <w:r>
        <w:rPr>
          <w:rStyle w:val="11"/>
          <w:rFonts w:hint="eastAsia" w:ascii="华文楷体" w:hAnsi="华文楷体" w:eastAsia="华文楷体" w:cs="华文楷体"/>
          <w:b/>
          <w:i w:val="0"/>
          <w:caps w:val="0"/>
          <w:color w:val="auto"/>
          <w:spacing w:val="0"/>
          <w:sz w:val="28"/>
          <w:szCs w:val="28"/>
          <w:shd w:val="clear" w:fill="FFFFFF"/>
          <w:lang w:val="en-US" w:eastAsia="zh-CN"/>
        </w:rPr>
        <w:t>2013.1.21</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lang w:val="en-US" w:eastAsia="zh-CN"/>
        </w:rPr>
      </w:pPr>
      <w:r>
        <w:rPr>
          <w:rFonts w:hint="eastAsia" w:ascii="华文楷体" w:hAnsi="华文楷体" w:eastAsia="华文楷体" w:cs="华文楷体"/>
          <w:i w:val="0"/>
          <w:caps w:val="0"/>
          <w:color w:val="auto"/>
          <w:spacing w:val="0"/>
          <w:sz w:val="28"/>
          <w:szCs w:val="28"/>
          <w:shd w:val="clear" w:fill="FFFFFF"/>
        </w:rPr>
        <w:t> A股市场在过去几个月走出了V形走势，先是半年多的绵绵下跌行情，股指创出三年的新低，紧接着是一个多月波澜壮阔的上涨，在大家还在讨论“玫瑰底”、“黄金底”的时候瞬间上涨了20%。站在目前的时点，我们可以有很多解释，例如投资复苏、RQFII带来资金流入等等。然而</w:t>
      </w:r>
      <w:r>
        <w:rPr>
          <w:rFonts w:hint="eastAsia" w:ascii="华文楷体" w:hAnsi="华文楷体" w:eastAsia="华文楷体" w:cs="华文楷体"/>
          <w:b/>
          <w:bCs/>
          <w:i w:val="0"/>
          <w:caps w:val="0"/>
          <w:color w:val="auto"/>
          <w:spacing w:val="0"/>
          <w:sz w:val="28"/>
          <w:szCs w:val="28"/>
          <w:shd w:val="clear" w:fill="FFFFFF"/>
        </w:rPr>
        <w:t>解释显然没有任何意义，哪怕回到两个月前，谁能预测到市场走势是这样的？对大部分投资者来说，预测市场短期走势是一件非常困难的事情。</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w:t>
      </w:r>
      <w:r>
        <w:rPr>
          <w:rFonts w:hint="eastAsia" w:ascii="华文楷体" w:hAnsi="华文楷体" w:eastAsia="华文楷体" w:cs="华文楷体"/>
          <w:b/>
          <w:bCs/>
          <w:i w:val="0"/>
          <w:caps w:val="0"/>
          <w:color w:val="auto"/>
          <w:spacing w:val="0"/>
          <w:sz w:val="28"/>
          <w:szCs w:val="28"/>
          <w:shd w:val="clear" w:fill="FFFFFF"/>
        </w:rPr>
        <w:t xml:space="preserve"> 但是就在市场不断的波动中，我们发现有不少股票在不断创出历史新高，似乎与市场的跌宕起伏毫无关系。仔细研究这些股票我们会发现，这些走出独立行情的股票往往都是非常优秀的上市公司。</w:t>
      </w:r>
      <w:r>
        <w:rPr>
          <w:rFonts w:hint="eastAsia" w:ascii="华文楷体" w:hAnsi="华文楷体" w:eastAsia="华文楷体" w:cs="华文楷体"/>
          <w:i w:val="0"/>
          <w:caps w:val="0"/>
          <w:color w:val="auto"/>
          <w:spacing w:val="0"/>
          <w:sz w:val="28"/>
          <w:szCs w:val="28"/>
          <w:shd w:val="clear" w:fill="FFFFFF"/>
        </w:rPr>
        <w:t>最近调研了几家企业，其中一家企业A上市多少年来从未进行再融资，</w:t>
      </w:r>
      <w:r>
        <w:rPr>
          <w:rFonts w:hint="eastAsia" w:ascii="华文楷体" w:hAnsi="华文楷体" w:eastAsia="华文楷体" w:cs="华文楷体"/>
          <w:b/>
          <w:bCs/>
          <w:i w:val="0"/>
          <w:caps w:val="0"/>
          <w:color w:val="auto"/>
          <w:spacing w:val="0"/>
          <w:sz w:val="28"/>
          <w:szCs w:val="28"/>
          <w:shd w:val="clear" w:fill="FFFFFF"/>
        </w:rPr>
        <w:t>完全依靠内生利润增长20倍，</w:t>
      </w:r>
      <w:r>
        <w:rPr>
          <w:rFonts w:hint="eastAsia" w:ascii="华文楷体" w:hAnsi="华文楷体" w:eastAsia="华文楷体" w:cs="华文楷体"/>
          <w:i w:val="0"/>
          <w:caps w:val="0"/>
          <w:color w:val="auto"/>
          <w:spacing w:val="0"/>
          <w:sz w:val="28"/>
          <w:szCs w:val="28"/>
          <w:shd w:val="clear" w:fill="FFFFFF"/>
        </w:rPr>
        <w:t>成为行业龙头，企业非常重视以研发驱动利润增长，目前已储备不少重量级的新产品；另一家企业B，处在一个竞争激烈的行业中，与外资巨头竞争20年不仅不落下风，而且在不断提高市场份额。无论是A还是B，都让我非常尊敬。在中国经济的起起伏伏中，已经有一批杰出的企业诞生，并逐步具备了成为伟大企业的潜质。 </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投资的本质即是分享企业的成长，股票市场提供了这个平台。</w:t>
      </w:r>
      <w:r>
        <w:rPr>
          <w:rFonts w:hint="eastAsia" w:ascii="华文楷体" w:hAnsi="华文楷体" w:eastAsia="华文楷体" w:cs="华文楷体"/>
          <w:b/>
          <w:bCs/>
          <w:i w:val="0"/>
          <w:caps w:val="0"/>
          <w:color w:val="auto"/>
          <w:spacing w:val="0"/>
          <w:sz w:val="28"/>
          <w:szCs w:val="28"/>
          <w:shd w:val="clear" w:fill="FFFFFF"/>
        </w:rPr>
        <w:t>试想，我们只需买入优秀公司的股票，不用做其他任何事情，就能分享这些杰出企业家辛勤工作创造的财富，这是多大的幸运！</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lang w:val="en-US" w:eastAsia="zh-CN"/>
        </w:rPr>
        <w:t>------------</w:t>
      </w:r>
    </w:p>
    <w:p>
      <w:pPr>
        <w:pStyle w:val="3"/>
        <w:pageBreakBefore w:val="0"/>
        <w:kinsoku/>
        <w:overflowPunct/>
        <w:topLinePunct w:val="0"/>
        <w:autoSpaceDE/>
        <w:autoSpaceDN/>
        <w:bidi w:val="0"/>
        <w:adjustRightInd/>
        <w:snapToGrid/>
        <w:ind w:firstLine="643" w:firstLineChars="200"/>
        <w:jc w:val="center"/>
        <w:rPr>
          <w:rFonts w:hint="eastAsia"/>
          <w:color w:val="auto"/>
        </w:rPr>
      </w:pPr>
      <w:bookmarkStart w:id="2" w:name="_Toc27564"/>
      <w:r>
        <w:rPr>
          <w:rFonts w:hint="eastAsia"/>
          <w:color w:val="auto"/>
        </w:rPr>
        <w:t>速度还是耐力</w:t>
      </w:r>
      <w:bookmarkEnd w:id="2"/>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jc w:val="center"/>
        <w:rPr>
          <w:rStyle w:val="11"/>
          <w:rFonts w:hint="eastAsia" w:ascii="华文楷体" w:hAnsi="华文楷体" w:eastAsia="华文楷体" w:cs="华文楷体"/>
          <w:b/>
          <w:i w:val="0"/>
          <w:caps w:val="0"/>
          <w:color w:val="auto"/>
          <w:spacing w:val="0"/>
          <w:sz w:val="28"/>
          <w:szCs w:val="28"/>
          <w:shd w:val="clear" w:fill="FFFFFF"/>
          <w:lang w:val="en-US" w:eastAsia="zh-CN"/>
        </w:rPr>
      </w:pPr>
      <w:r>
        <w:rPr>
          <w:rStyle w:val="11"/>
          <w:rFonts w:hint="eastAsia" w:ascii="华文楷体" w:hAnsi="华文楷体" w:eastAsia="华文楷体" w:cs="华文楷体"/>
          <w:b/>
          <w:i w:val="0"/>
          <w:caps w:val="0"/>
          <w:color w:val="auto"/>
          <w:spacing w:val="0"/>
          <w:sz w:val="28"/>
          <w:szCs w:val="28"/>
          <w:shd w:val="clear" w:fill="FFFFFF"/>
          <w:lang w:val="en-US" w:eastAsia="zh-CN"/>
        </w:rPr>
        <w:t>2013.5</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rPr>
      </w:pPr>
      <w:r>
        <w:rPr>
          <w:rFonts w:hint="eastAsia" w:ascii="华文楷体" w:hAnsi="华文楷体" w:eastAsia="华文楷体" w:cs="华文楷体"/>
          <w:i w:val="0"/>
          <w:caps w:val="0"/>
          <w:color w:val="auto"/>
          <w:spacing w:val="0"/>
          <w:sz w:val="28"/>
          <w:szCs w:val="28"/>
          <w:shd w:val="clear" w:fill="FFFFFF"/>
        </w:rPr>
        <w:t> 年初以来，市场剧烈分化，沪深300指数下跌3%，中小板指数上涨6%，创业板指数上涨28%。市场的热点集中在电子、传媒、医药、环保等新兴板块，其中涨幅多的股票有一个共同特征，即盈利增速快，并且其估值伴随盈利同时提升。而传统产业即使部分公司盈利增速尚可，但估值的下移使股价没有表现。 </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w:t>
      </w:r>
      <w:r>
        <w:rPr>
          <w:rFonts w:hint="eastAsia" w:ascii="华文楷体" w:hAnsi="华文楷体" w:eastAsia="华文楷体" w:cs="华文楷体"/>
          <w:i w:val="0"/>
          <w:caps w:val="0"/>
          <w:color w:val="auto"/>
          <w:spacing w:val="0"/>
          <w:sz w:val="28"/>
          <w:szCs w:val="28"/>
          <w:shd w:val="clear" w:fill="FFFFFF"/>
          <w:lang w:val="en-US" w:eastAsia="zh-CN"/>
        </w:rPr>
        <w:t xml:space="preserve">    </w:t>
      </w:r>
      <w:r>
        <w:rPr>
          <w:rFonts w:hint="eastAsia" w:ascii="华文楷体" w:hAnsi="华文楷体" w:eastAsia="华文楷体" w:cs="华文楷体"/>
          <w:i w:val="0"/>
          <w:caps w:val="0"/>
          <w:color w:val="auto"/>
          <w:spacing w:val="0"/>
          <w:sz w:val="28"/>
          <w:szCs w:val="28"/>
          <w:shd w:val="clear" w:fill="FFFFFF"/>
        </w:rPr>
        <w:t>今年以来，小盘股相比大盘股的估值溢价不断拉大，几乎回到了历史最高的水平。与香港市场比较可以发现，对于两地上市的公司，蓝筹公司的H/A有溢价并且不断拉大，而小市值公司H/A仍有较大折价。A股投资者更喜欢小公司，其逻辑包括：小公司大多基数小、增速快，符合经济转型方向；而海外投资者更欣赏大公司，其原因有：大企业行业地位更稳固，议价能力强，增长持续性好。</w:t>
      </w:r>
      <w:r>
        <w:rPr>
          <w:rFonts w:hint="eastAsia" w:ascii="华文楷体" w:hAnsi="华文楷体" w:eastAsia="华文楷体" w:cs="华文楷体"/>
          <w:b/>
          <w:bCs/>
          <w:i w:val="0"/>
          <w:caps w:val="0"/>
          <w:color w:val="auto"/>
          <w:spacing w:val="0"/>
          <w:sz w:val="28"/>
          <w:szCs w:val="28"/>
          <w:shd w:val="clear" w:fill="FFFFFF"/>
        </w:rPr>
        <w:t>总而言之，A股投资者更在意增长的速度，海外投资者更关注增长的耐力。 </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估值巨大的差异代表了如何看待未来的巨大分歧，却没有对错之分。</w:t>
      </w:r>
      <w:r>
        <w:rPr>
          <w:rFonts w:hint="eastAsia" w:ascii="华文楷体" w:hAnsi="华文楷体" w:eastAsia="华文楷体" w:cs="华文楷体"/>
          <w:b/>
          <w:bCs/>
          <w:i w:val="0"/>
          <w:caps w:val="0"/>
          <w:color w:val="auto"/>
          <w:spacing w:val="0"/>
          <w:sz w:val="28"/>
          <w:szCs w:val="28"/>
          <w:shd w:val="clear" w:fill="FFFFFF"/>
        </w:rPr>
        <w:t>产业资本越来越多的参与到资本市场中，如果上市公司被低估，产业资本自然会增持，甚至在二级市场发起收购，如果被高估，产业资本自然会减持。</w:t>
      </w:r>
      <w:r>
        <w:rPr>
          <w:rFonts w:hint="eastAsia" w:ascii="华文楷体" w:hAnsi="华文楷体" w:eastAsia="华文楷体" w:cs="华文楷体"/>
          <w:i w:val="0"/>
          <w:caps w:val="0"/>
          <w:color w:val="auto"/>
          <w:spacing w:val="0"/>
          <w:sz w:val="28"/>
          <w:szCs w:val="28"/>
          <w:shd w:val="clear" w:fill="FFFFFF"/>
        </w:rPr>
        <w:t>市场短期是投票器，可能并不理智，但长期看，市场作为称重器是最公平的。</w:t>
      </w:r>
      <w:r>
        <w:rPr>
          <w:rFonts w:hint="eastAsia" w:ascii="华文楷体" w:hAnsi="华文楷体" w:eastAsia="华文楷体" w:cs="华文楷体"/>
          <w:b/>
          <w:bCs/>
          <w:i w:val="0"/>
          <w:caps w:val="0"/>
          <w:color w:val="auto"/>
          <w:spacing w:val="0"/>
          <w:sz w:val="28"/>
          <w:szCs w:val="28"/>
          <w:shd w:val="clear" w:fill="FFFFFF"/>
        </w:rPr>
        <w:t>作为股票投资者单纯纠结于估值是没有意义的，需要静下心来，一方面是深入研究发掘有核心竞争力的公司；另一方面，从产业资本角度考虑，如果有充裕的资金例如一万亿，愿意从市场收购哪些公司，如果这些公司暂停交易甚至退市，是否还愿意付出同样的代价。</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lang w:val="en-US" w:eastAsia="zh-CN"/>
        </w:rPr>
      </w:pPr>
      <w:r>
        <w:rPr>
          <w:rFonts w:hint="eastAsia" w:ascii="华文楷体" w:hAnsi="华文楷体" w:eastAsia="华文楷体" w:cs="华文楷体"/>
          <w:i w:val="0"/>
          <w:caps w:val="0"/>
          <w:color w:val="auto"/>
          <w:spacing w:val="0"/>
          <w:sz w:val="28"/>
          <w:szCs w:val="28"/>
          <w:shd w:val="clear" w:fill="FFFFFF"/>
          <w:lang w:val="en-US" w:eastAsia="zh-CN"/>
        </w:rPr>
        <w:t>-----------</w:t>
      </w:r>
    </w:p>
    <w:p>
      <w:pPr>
        <w:pStyle w:val="3"/>
        <w:pageBreakBefore w:val="0"/>
        <w:kinsoku/>
        <w:overflowPunct/>
        <w:topLinePunct w:val="0"/>
        <w:autoSpaceDE/>
        <w:autoSpaceDN/>
        <w:bidi w:val="0"/>
        <w:adjustRightInd/>
        <w:snapToGrid/>
        <w:ind w:firstLine="643" w:firstLineChars="200"/>
        <w:jc w:val="center"/>
        <w:rPr>
          <w:rFonts w:hint="eastAsia"/>
        </w:rPr>
      </w:pPr>
      <w:bookmarkStart w:id="3" w:name="_Toc30886"/>
      <w:r>
        <w:rPr>
          <w:rFonts w:hint="eastAsia"/>
        </w:rPr>
        <w:t>读老虎基金致投资者的信有感</w:t>
      </w:r>
      <w:bookmarkEnd w:id="3"/>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jc w:val="center"/>
        <w:rPr>
          <w:rStyle w:val="11"/>
          <w:rFonts w:hint="eastAsia" w:ascii="华文楷体" w:hAnsi="华文楷体" w:eastAsia="华文楷体" w:cs="华文楷体"/>
          <w:b/>
          <w:i w:val="0"/>
          <w:caps w:val="0"/>
          <w:color w:val="auto"/>
          <w:spacing w:val="0"/>
          <w:sz w:val="28"/>
          <w:szCs w:val="28"/>
          <w:shd w:val="clear" w:fill="FFFFFF"/>
          <w:lang w:val="en-US" w:eastAsia="zh-CN"/>
        </w:rPr>
      </w:pPr>
      <w:r>
        <w:rPr>
          <w:rStyle w:val="11"/>
          <w:rFonts w:hint="eastAsia" w:ascii="华文楷体" w:hAnsi="华文楷体" w:eastAsia="华文楷体" w:cs="华文楷体"/>
          <w:b/>
          <w:i w:val="0"/>
          <w:caps w:val="0"/>
          <w:color w:val="auto"/>
          <w:spacing w:val="0"/>
          <w:sz w:val="28"/>
          <w:szCs w:val="28"/>
          <w:shd w:val="clear" w:fill="FFFFFF"/>
          <w:lang w:val="en-US" w:eastAsia="zh-CN"/>
        </w:rPr>
        <w:t>2013.7.8</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rPr>
      </w:pPr>
      <w:r>
        <w:rPr>
          <w:rFonts w:hint="eastAsia" w:ascii="华文楷体" w:hAnsi="华文楷体" w:eastAsia="华文楷体" w:cs="华文楷体"/>
          <w:i w:val="0"/>
          <w:caps w:val="0"/>
          <w:color w:val="auto"/>
          <w:spacing w:val="0"/>
          <w:sz w:val="28"/>
          <w:szCs w:val="28"/>
          <w:shd w:val="clear" w:fill="FFFFFF"/>
        </w:rPr>
        <w:t>近不少人纷纷转载老虎基金掌门人罗伯逊2000年致投资者的信，大意是说老虎基金从1980年到1998年取得了很好的业绩，但由于不理解科技股的价值，错失了随后的科技股行情导致业绩不佳，投资者纷纷赎回基金。罗伯逊表示“不知道市场的‘庞氏金字塔’何时倒塌”，但“绝不会冒险把大家的金钱投资在我完全不了解的市场”，因此决定将老虎基金解散。这封信的日期是2000年3月30日，信中罗伯逊说“我们却看不到这一切行将结束的迹象”，但就在20天前纳斯达克见了历史大顶，让人颇有些悲凉的感觉。13年过去了，纳斯达克指数离2000年的顶部还有50%的距离。 </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显然，大多数人此时转载这篇文章是因为中国的“纳斯达克”——创业板也正走出一波独立的牛市行情，关于创业板是否有泡沫的争论从四月份开始就一直不绝于耳。到今时今日，已经很少有投资者对传统经济模式仍保持信心，转型才是中国的希望已经成为市场的共识，也正基于此，股票市场中主板和创业板之间才投射出巨大的估值差异。</w:t>
      </w:r>
      <w:r>
        <w:rPr>
          <w:rFonts w:hint="eastAsia" w:ascii="华文楷体" w:hAnsi="华文楷体" w:eastAsia="华文楷体" w:cs="华文楷体"/>
          <w:b/>
          <w:bCs/>
          <w:i w:val="0"/>
          <w:caps w:val="0"/>
          <w:color w:val="auto"/>
          <w:spacing w:val="0"/>
          <w:sz w:val="28"/>
          <w:szCs w:val="28"/>
          <w:shd w:val="clear" w:fill="FFFFFF"/>
        </w:rPr>
        <w:t>但股票市场的特点是，一旦认为是确定的东西，就会在估值上不断反映，而从众心理容易导致正反馈形成并过度反映。作为股票投资者，保持客观是非常困难的。</w:t>
      </w:r>
      <w:r>
        <w:rPr>
          <w:rFonts w:hint="eastAsia" w:ascii="华文楷体" w:hAnsi="华文楷体" w:eastAsia="华文楷体" w:cs="华文楷体"/>
          <w:i w:val="0"/>
          <w:caps w:val="0"/>
          <w:color w:val="auto"/>
          <w:spacing w:val="0"/>
          <w:sz w:val="28"/>
          <w:szCs w:val="28"/>
          <w:shd w:val="clear" w:fill="FFFFFF"/>
        </w:rPr>
        <w:t>去年12月创业板600点，不少人对其唯恐避之不及；而到了今年6月份，“创业板是未来三年最牛的指数”、“创业板才是A股稀缺的高成长标的”等观点纷纷出现，难道这些公司在六个月内都发生了翻天覆地的变化？恐怕还是市场的心动了。 </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再回到老虎基金，老虎基金不止错过科技股行情这么简单。罗伯逊在信中所说，“老虎基金以往多年的成功，要诀是我们坚持的投资策略：买入最好的股份及沽空最差的股份”，但老虎基金在1998年大幅沽空日元导致损失几十亿美元，虽无法得知具体原因，但至少这笔操作和他所说的投资策略并不相符。同时，罗伯逊持有大量美国航空的股票，回头看也没有实现穿越周期。因此，罗伯逊后两年业绩不佳是三者因素的叠加：错过自己不擅长的、没有在自己擅长的领域做好、进入自己不擅长的领域并做错。</w:t>
      </w:r>
      <w:r>
        <w:rPr>
          <w:rFonts w:hint="eastAsia" w:ascii="华文楷体" w:hAnsi="华文楷体" w:eastAsia="华文楷体" w:cs="华文楷体"/>
          <w:b/>
          <w:bCs/>
          <w:i w:val="0"/>
          <w:caps w:val="0"/>
          <w:color w:val="auto"/>
          <w:spacing w:val="0"/>
          <w:sz w:val="28"/>
          <w:szCs w:val="28"/>
          <w:shd w:val="clear" w:fill="FFFFFF"/>
        </w:rPr>
        <w:t>同样1999年业绩不佳的巴菲特也错过不擅长的科技股，但在后两方面都做的很好，在他擅长的金融、消费领域做到极致，并坚决不进入他不了解的领域，安然度过了科技股泡沫。</w:t>
      </w:r>
      <w:r>
        <w:rPr>
          <w:rFonts w:hint="eastAsia" w:ascii="华文楷体" w:hAnsi="华文楷体" w:eastAsia="华文楷体" w:cs="华文楷体"/>
          <w:i w:val="0"/>
          <w:caps w:val="0"/>
          <w:color w:val="auto"/>
          <w:spacing w:val="0"/>
          <w:sz w:val="28"/>
          <w:szCs w:val="28"/>
          <w:shd w:val="clear" w:fill="FFFFFF"/>
        </w:rPr>
        <w:t>投资的业绩是由两方面决定的，</w:t>
      </w:r>
      <w:r>
        <w:rPr>
          <w:rFonts w:hint="eastAsia" w:ascii="华文楷体" w:hAnsi="华文楷体" w:eastAsia="华文楷体" w:cs="华文楷体"/>
          <w:b/>
          <w:bCs/>
          <w:i w:val="0"/>
          <w:caps w:val="0"/>
          <w:color w:val="auto"/>
          <w:spacing w:val="0"/>
          <w:sz w:val="28"/>
          <w:szCs w:val="28"/>
          <w:shd w:val="clear" w:fill="FFFFFF"/>
        </w:rPr>
        <w:t>一是把握住了多少机会，二是犯了多少错误。</w:t>
      </w:r>
      <w:r>
        <w:rPr>
          <w:rFonts w:hint="eastAsia" w:ascii="华文楷体" w:hAnsi="华文楷体" w:eastAsia="华文楷体" w:cs="华文楷体"/>
          <w:i w:val="0"/>
          <w:caps w:val="0"/>
          <w:color w:val="auto"/>
          <w:spacing w:val="0"/>
          <w:sz w:val="28"/>
          <w:szCs w:val="28"/>
          <w:shd w:val="clear" w:fill="FFFFFF"/>
        </w:rPr>
        <w:t>罗伯逊和巴菲特都错过了科技股的机会，但犯错误更少的那个人直到现在还在继续着他的投资传奇。</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lang w:val="en-US" w:eastAsia="zh-CN"/>
        </w:rPr>
      </w:pPr>
      <w:r>
        <w:rPr>
          <w:rFonts w:hint="eastAsia" w:ascii="华文楷体" w:hAnsi="华文楷体" w:eastAsia="华文楷体" w:cs="华文楷体"/>
          <w:i w:val="0"/>
          <w:caps w:val="0"/>
          <w:color w:val="auto"/>
          <w:spacing w:val="0"/>
          <w:sz w:val="28"/>
          <w:szCs w:val="28"/>
          <w:shd w:val="clear" w:fill="FFFFFF"/>
          <w:lang w:val="en-US" w:eastAsia="zh-CN"/>
        </w:rPr>
        <w:t>零城逆影：恪守能力圈</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lang w:val="en-US" w:eastAsia="zh-CN"/>
        </w:rPr>
      </w:pPr>
      <w:r>
        <w:rPr>
          <w:rFonts w:hint="eastAsia" w:ascii="华文楷体" w:hAnsi="华文楷体" w:eastAsia="华文楷体" w:cs="华文楷体"/>
          <w:i w:val="0"/>
          <w:caps w:val="0"/>
          <w:color w:val="auto"/>
          <w:spacing w:val="0"/>
          <w:sz w:val="28"/>
          <w:szCs w:val="28"/>
          <w:shd w:val="clear" w:fill="FFFFFF"/>
          <w:lang w:val="en-US" w:eastAsia="zh-CN"/>
        </w:rPr>
        <w:t>--------</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lang w:val="en-US" w:eastAsia="zh-CN"/>
        </w:rPr>
      </w:pPr>
    </w:p>
    <w:p>
      <w:pPr>
        <w:pStyle w:val="3"/>
        <w:pageBreakBefore w:val="0"/>
        <w:kinsoku/>
        <w:overflowPunct/>
        <w:topLinePunct w:val="0"/>
        <w:autoSpaceDE/>
        <w:autoSpaceDN/>
        <w:bidi w:val="0"/>
        <w:adjustRightInd/>
        <w:snapToGrid/>
        <w:ind w:firstLine="643" w:firstLineChars="200"/>
        <w:jc w:val="center"/>
        <w:rPr>
          <w:rFonts w:hint="eastAsia"/>
          <w:lang w:val="en-US" w:eastAsia="zh-CN"/>
        </w:rPr>
      </w:pPr>
      <w:bookmarkStart w:id="4" w:name="_Toc1964"/>
      <w:r>
        <w:rPr>
          <w:rFonts w:hint="eastAsia"/>
          <w:lang w:val="en-US" w:eastAsia="zh-CN"/>
        </w:rPr>
        <w:t>耐心</w:t>
      </w:r>
      <w:bookmarkEnd w:id="4"/>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jc w:val="center"/>
        <w:rPr>
          <w:rFonts w:hint="eastAsia" w:ascii="华文楷体" w:hAnsi="华文楷体" w:eastAsia="华文楷体" w:cs="华文楷体"/>
          <w:i w:val="0"/>
          <w:caps w:val="0"/>
          <w:color w:val="auto"/>
          <w:spacing w:val="0"/>
          <w:sz w:val="28"/>
          <w:szCs w:val="28"/>
          <w:shd w:val="clear" w:fill="FFFFFF"/>
          <w:lang w:val="en-US" w:eastAsia="zh-CN"/>
        </w:rPr>
      </w:pPr>
      <w:r>
        <w:rPr>
          <w:rFonts w:hint="eastAsia" w:ascii="华文楷体" w:hAnsi="华文楷体" w:eastAsia="华文楷体" w:cs="华文楷体"/>
          <w:i w:val="0"/>
          <w:caps w:val="0"/>
          <w:color w:val="auto"/>
          <w:spacing w:val="0"/>
          <w:sz w:val="28"/>
          <w:szCs w:val="28"/>
          <w:shd w:val="clear" w:fill="FFFFFF"/>
          <w:lang w:val="en-US" w:eastAsia="zh-CN"/>
        </w:rPr>
        <w:t>2013.10.15</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b/>
          <w:bCs/>
          <w:i w:val="0"/>
          <w:caps w:val="0"/>
          <w:color w:val="auto"/>
          <w:spacing w:val="0"/>
          <w:sz w:val="28"/>
          <w:szCs w:val="28"/>
          <w:shd w:val="clear" w:fill="FFFFFF"/>
        </w:rPr>
      </w:pPr>
      <w:r>
        <w:rPr>
          <w:rFonts w:hint="eastAsia" w:ascii="华文楷体" w:hAnsi="华文楷体" w:eastAsia="华文楷体" w:cs="华文楷体"/>
          <w:i w:val="0"/>
          <w:caps w:val="0"/>
          <w:color w:val="auto"/>
          <w:spacing w:val="0"/>
          <w:sz w:val="28"/>
          <w:szCs w:val="28"/>
          <w:shd w:val="clear" w:fill="FFFFFF"/>
        </w:rPr>
        <w:t> 最近在</w:t>
      </w:r>
      <w:r>
        <w:rPr>
          <w:rFonts w:hint="eastAsia" w:ascii="华文楷体" w:hAnsi="华文楷体" w:eastAsia="华文楷体" w:cs="华文楷体"/>
          <w:i w:val="0"/>
          <w:caps w:val="0"/>
          <w:color w:val="auto"/>
          <w:spacing w:val="0"/>
          <w:sz w:val="28"/>
          <w:szCs w:val="28"/>
          <w:u w:val="single"/>
          <w:shd w:val="clear" w:fill="FFFFFF"/>
        </w:rPr>
        <w:t>业余时间</w:t>
      </w:r>
      <w:r>
        <w:rPr>
          <w:rFonts w:hint="eastAsia" w:ascii="华文楷体" w:hAnsi="华文楷体" w:eastAsia="华文楷体" w:cs="华文楷体"/>
          <w:i w:val="0"/>
          <w:caps w:val="0"/>
          <w:color w:val="auto"/>
          <w:spacing w:val="0"/>
          <w:sz w:val="28"/>
          <w:szCs w:val="28"/>
          <w:shd w:val="clear" w:fill="FFFFFF"/>
        </w:rPr>
        <w:t>读了《德川家康》，对这个在日本历史上充满争议的人物加深了了解，发现家康身上有不少值得学习的品质。很多人不喜欢德川家康，认为他胆小懦弱、缺乏英雄气概。但正是这样一个人，结束了日本的战国时代，成就了霸业。</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德川家康的时代出了很多的英雄人物，例如今川义元——家康早年曾委身于义元做人质，武田信玄——三方原之战中让家康遭遇惨败，织田信长——家康为保持与其同盟而杀掉自己的亲生儿子，丰臣秀吉——信长死后家康继续隐忍这位过去信长的家臣。前述这些英雄人物都曾经无比耀眼，但德川家康就像一只“乌龟”，虽然不起眼，却不断向前，最终统一了日本。</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家康曾说过“人生有如负重致远，不可急躁”。家康早年历经了各种磨难：在今川家做人质时，这个“三河孤儿”受到今川家主公和家臣的羞辱；结婚之后，他忍受着筑山夫人的傲慢和无礼；后来，为了保持和信长的同盟，忍受了杀子之痛。然而这些磨难非但没有击垮家康，反而成了他不断增强自己实力的动力。另外，家康从未对自己有过任何得意和自满，直到成为了拥有三河、远江、骏河、甲斐等100万石的大名，仍然不吃米饭而吃麦饭。</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从天赋来看，家康似乎并不如信玄、信长和秀吉，但他总是拼命学习，并用经验教训不断改造自己。家康早年受到各种磨难，最终完成了日本的统一。由此可见祸之福所倚，福之祸所依。</w:t>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br w:type="textWrapping"/>
      </w:r>
      <w:r>
        <w:rPr>
          <w:rFonts w:hint="eastAsia" w:ascii="华文楷体" w:hAnsi="华文楷体" w:eastAsia="华文楷体" w:cs="华文楷体"/>
          <w:i w:val="0"/>
          <w:caps w:val="0"/>
          <w:color w:val="auto"/>
          <w:spacing w:val="0"/>
          <w:sz w:val="28"/>
          <w:szCs w:val="28"/>
          <w:shd w:val="clear" w:fill="FFFFFF"/>
        </w:rPr>
        <w:t>    面对着未来四五十年的投资生涯，我们可以从家康身上学习很多优秀的品质，</w:t>
      </w:r>
      <w:r>
        <w:rPr>
          <w:rFonts w:hint="eastAsia" w:ascii="华文楷体" w:hAnsi="华文楷体" w:eastAsia="华文楷体" w:cs="华文楷体"/>
          <w:b/>
          <w:bCs/>
          <w:i w:val="0"/>
          <w:caps w:val="0"/>
          <w:color w:val="auto"/>
          <w:spacing w:val="0"/>
          <w:sz w:val="28"/>
          <w:szCs w:val="28"/>
          <w:shd w:val="clear" w:fill="FFFFFF"/>
        </w:rPr>
        <w:t>唯有保持耐心，不懈努力研究，从正确中获取经验，从错误中汲取教训，方能在投资上最终取得些成就。 </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lang w:val="en-US" w:eastAsia="zh-CN"/>
        </w:rPr>
      </w:pPr>
      <w:r>
        <w:rPr>
          <w:rFonts w:hint="eastAsia" w:ascii="华文楷体" w:hAnsi="华文楷体" w:eastAsia="华文楷体" w:cs="华文楷体"/>
          <w:i w:val="0"/>
          <w:caps w:val="0"/>
          <w:color w:val="auto"/>
          <w:spacing w:val="0"/>
          <w:sz w:val="28"/>
          <w:szCs w:val="28"/>
          <w:shd w:val="clear" w:fill="FFFFFF"/>
          <w:lang w:val="en-US" w:eastAsia="zh-CN"/>
        </w:rPr>
        <w:t>---------------------------</w:t>
      </w:r>
    </w:p>
    <w:p>
      <w:pPr>
        <w:pStyle w:val="3"/>
        <w:pageBreakBefore w:val="0"/>
        <w:kinsoku/>
        <w:overflowPunct/>
        <w:topLinePunct w:val="0"/>
        <w:autoSpaceDE/>
        <w:autoSpaceDN/>
        <w:bidi w:val="0"/>
        <w:adjustRightInd/>
        <w:snapToGrid/>
        <w:ind w:firstLine="643" w:firstLineChars="200"/>
        <w:jc w:val="center"/>
        <w:rPr>
          <w:rFonts w:hint="eastAsia"/>
        </w:rPr>
      </w:pPr>
      <w:bookmarkStart w:id="5" w:name="_Toc19629"/>
      <w:r>
        <w:rPr>
          <w:rFonts w:hint="eastAsia"/>
        </w:rPr>
        <w:t>晚上睡得香比什么都重要</w:t>
      </w:r>
      <w:bookmarkEnd w:id="5"/>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jc w:val="center"/>
        <w:rPr>
          <w:rFonts w:hint="eastAsia" w:ascii="华文楷体" w:hAnsi="华文楷体" w:eastAsia="华文楷体" w:cs="华文楷体"/>
          <w:i w:val="0"/>
          <w:caps w:val="0"/>
          <w:color w:val="auto"/>
          <w:spacing w:val="0"/>
          <w:kern w:val="0"/>
          <w:sz w:val="28"/>
          <w:szCs w:val="28"/>
          <w:shd w:val="clear" w:fill="FFFFFF"/>
          <w:lang w:val="en-US" w:eastAsia="zh-CN" w:bidi="ar"/>
        </w:rPr>
      </w:pPr>
      <w:r>
        <w:rPr>
          <w:rStyle w:val="11"/>
          <w:rFonts w:hint="eastAsia" w:ascii="华文楷体" w:hAnsi="华文楷体" w:eastAsia="华文楷体" w:cs="华文楷体"/>
          <w:b/>
          <w:i w:val="0"/>
          <w:caps w:val="0"/>
          <w:color w:val="auto"/>
          <w:spacing w:val="0"/>
          <w:sz w:val="28"/>
          <w:szCs w:val="28"/>
          <w:shd w:val="clear" w:fill="FFFFFF"/>
          <w:lang w:val="en-US" w:eastAsia="zh-CN"/>
        </w:rPr>
        <w:t>2014.4.8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312" w:afterAutospacing="0"/>
        <w:ind w:left="0" w:right="0" w:firstLine="560" w:firstLineChars="200"/>
        <w:jc w:val="left"/>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塞思•卡拉曼2007年10月20日在麻省理工学院发表过一次著名的演讲，本文的标题正是取自这次演讲的结束语（Ultimately, nothing should be more important to investors than the ability to sleep soundly at night）。卡拉曼在这次演讲中，陈述了很多非常有启发意义的观点。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312" w:afterAutospacing="0"/>
        <w:ind w:left="0" w:right="0" w:firstLine="560" w:firstLineChars="200"/>
        <w:jc w:val="left"/>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首先，卡拉曼讲述了投资者倾向于将短期的趋势无限外推，以美国的次贷举例，各种分析模型都假设了房价不断上涨，没有考虑下跌的情形。卡拉曼预言这些衍生品在房价下跌的时候流动性会接近于0，2008年的次贷危机上演了这一幕预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312" w:afterAutospacing="0"/>
        <w:ind w:left="0" w:right="0" w:firstLine="560" w:firstLineChars="200"/>
        <w:jc w:val="left"/>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同时，卡拉曼强调对于投资者来说最重要的不是回报，而是与风险匹配的回报。任何一笔投资要首先考虑风险，再考虑与之匹配的回报。卡拉曼自己就是巴菲特“不要赔钱”箴言的忠实践行者，</w:t>
      </w:r>
      <w:r>
        <w:rPr>
          <w:rFonts w:hint="eastAsia" w:ascii="华文楷体" w:hAnsi="华文楷体" w:eastAsia="华文楷体" w:cs="华文楷体"/>
          <w:b/>
          <w:bCs/>
          <w:i w:val="0"/>
          <w:caps w:val="0"/>
          <w:color w:val="auto"/>
          <w:spacing w:val="0"/>
          <w:kern w:val="0"/>
          <w:sz w:val="28"/>
          <w:szCs w:val="28"/>
          <w:shd w:val="clear" w:fill="FFFFFF"/>
          <w:lang w:val="en-US" w:eastAsia="zh-CN" w:bidi="ar"/>
        </w:rPr>
        <w:t>从1982到2007年，卡拉曼获取了94倍的回报，在其间只有一年是亏损的。</w:t>
      </w:r>
      <w:r>
        <w:rPr>
          <w:rFonts w:hint="eastAsia" w:ascii="华文楷体" w:hAnsi="华文楷体" w:eastAsia="华文楷体" w:cs="华文楷体"/>
          <w:i w:val="0"/>
          <w:caps w:val="0"/>
          <w:color w:val="auto"/>
          <w:spacing w:val="0"/>
          <w:kern w:val="0"/>
          <w:sz w:val="28"/>
          <w:szCs w:val="28"/>
          <w:shd w:val="clear" w:fill="FFFFFF"/>
          <w:lang w:val="en-US" w:eastAsia="zh-CN" w:bidi="ar"/>
        </w:rPr>
        <w:t>卡拉曼认为太多的投资者在波动性加剧和下跌的市场中不知如何应对：</w:t>
      </w:r>
      <w:r>
        <w:rPr>
          <w:rFonts w:hint="eastAsia" w:ascii="华文楷体" w:hAnsi="华文楷体" w:eastAsia="华文楷体" w:cs="华文楷体"/>
          <w:b/>
          <w:bCs/>
          <w:i w:val="0"/>
          <w:caps w:val="0"/>
          <w:color w:val="auto"/>
          <w:spacing w:val="0"/>
          <w:kern w:val="0"/>
          <w:sz w:val="28"/>
          <w:szCs w:val="28"/>
          <w:shd w:val="clear" w:fill="FFFFFF"/>
          <w:lang w:val="en-US" w:eastAsia="zh-CN" w:bidi="ar"/>
        </w:rPr>
        <w:t>趋势投资者在趋势消失的时候迷茫，为成长付出昂贵溢价的成长型投资者，当发现增速没有兑现的时候不知所措。</w:t>
      </w:r>
      <w:r>
        <w:rPr>
          <w:rFonts w:hint="eastAsia" w:ascii="华文楷体" w:hAnsi="华文楷体" w:eastAsia="华文楷体" w:cs="华文楷体"/>
          <w:i w:val="0"/>
          <w:caps w:val="0"/>
          <w:color w:val="auto"/>
          <w:spacing w:val="0"/>
          <w:kern w:val="0"/>
          <w:sz w:val="28"/>
          <w:szCs w:val="28"/>
          <w:shd w:val="clear" w:fill="FFFFFF"/>
          <w:lang w:val="en-US" w:eastAsia="zh-CN" w:bidi="ar"/>
        </w:rPr>
        <w:t>与之不同的，如果投资时坚持了安全边际，</w:t>
      </w:r>
      <w:r>
        <w:rPr>
          <w:rFonts w:hint="eastAsia" w:ascii="华文楷体" w:hAnsi="华文楷体" w:eastAsia="华文楷体" w:cs="华文楷体"/>
          <w:b/>
          <w:bCs/>
          <w:i w:val="0"/>
          <w:caps w:val="0"/>
          <w:color w:val="auto"/>
          <w:spacing w:val="0"/>
          <w:kern w:val="0"/>
          <w:sz w:val="28"/>
          <w:szCs w:val="28"/>
          <w:shd w:val="clear" w:fill="FFFFFF"/>
          <w:lang w:val="en-US" w:eastAsia="zh-CN" w:bidi="ar"/>
        </w:rPr>
        <w:t>安全边际将提供犯错、坏运气和应对糟糕经济环境的空间</w:t>
      </w:r>
      <w:r>
        <w:rPr>
          <w:rFonts w:hint="eastAsia" w:ascii="华文楷体" w:hAnsi="华文楷体" w:eastAsia="华文楷体" w:cs="华文楷体"/>
          <w:i w:val="0"/>
          <w:caps w:val="0"/>
          <w:color w:val="auto"/>
          <w:spacing w:val="0"/>
          <w:kern w:val="0"/>
          <w:sz w:val="28"/>
          <w:szCs w:val="28"/>
          <w:shd w:val="clear" w:fill="FFFFFF"/>
          <w:lang w:val="en-US" w:eastAsia="zh-CN" w:bidi="ar"/>
        </w:rPr>
        <w:t>。但是在当前，大部分人都只关注短期的市场中，坚持价值投资需要巨大的耐心和纪律性。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312" w:afterAutospacing="0"/>
        <w:ind w:left="0" w:right="0" w:firstLine="560" w:firstLineChars="200"/>
        <w:jc w:val="left"/>
        <w:rPr>
          <w:rFonts w:hint="eastAsia" w:ascii="华文楷体" w:hAnsi="华文楷体" w:eastAsia="华文楷体" w:cs="华文楷体"/>
          <w:b/>
          <w:bCs/>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另外，卡拉曼认为金融学理论和现实世界存在巨大的差异。卡拉曼从来不相信有效市场假说，在其25年的职业生涯从来没有计算过beta或者alpha。他认为价值投资有效的核心就是市场反复出现定价错误，严格遵守用50块的价格买100块的东西。</w:t>
      </w:r>
      <w:r>
        <w:rPr>
          <w:rFonts w:hint="eastAsia" w:ascii="华文楷体" w:hAnsi="华文楷体" w:eastAsia="华文楷体" w:cs="华文楷体"/>
          <w:b/>
          <w:bCs/>
          <w:i w:val="0"/>
          <w:caps w:val="0"/>
          <w:color w:val="auto"/>
          <w:spacing w:val="0"/>
          <w:kern w:val="0"/>
          <w:sz w:val="28"/>
          <w:szCs w:val="28"/>
          <w:shd w:val="clear" w:fill="FFFFFF"/>
          <w:lang w:val="en-US" w:eastAsia="zh-CN" w:bidi="ar"/>
        </w:rPr>
        <w:t>25年时间里卡拉曼从来没有使用过杠杆，随时保持充分的现金，时刻准备从着急、绝望、情绪化的抛售者手中购买股票。</w:t>
      </w:r>
    </w:p>
    <w:p>
      <w:pPr>
        <w:pageBreakBefore w:val="0"/>
        <w:kinsoku/>
        <w:overflowPunct/>
        <w:topLinePunct w:val="0"/>
        <w:autoSpaceDE/>
        <w:autoSpaceDN/>
        <w:bidi w:val="0"/>
        <w:adjustRightInd/>
        <w:snapToGrid/>
        <w:ind w:firstLine="560" w:firstLineChars="200"/>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这篇演讲已经过去了6年多时间。卡拉曼在其2014年致投资者的信中指出，去年标普500指数上涨32%、纳斯达克指数跃升40%的时候，企业盈利却几乎没有增加。这种情况放在任何一年都应该引起警觉，而不是幻想股市还将繁荣下去。美国市场2013年有230次IPO，比2012年多59%，接近了2007年最高的288次。市场上，讲未来如何赚钱故事的公司比现实世界中已经赚钱的公司更有价值。6年前，许多投资者经历了巨大的损失，他们曾经发誓要做到小心，不要贪婪，不要看得太短期。但现在我们又回来了，陷入在愉快的市场环境中，似乎没有什么能够阻挡股票上涨。但或许很快就能看到，2008年的教训不会只有一次，贪婪和恐惧永远是周而复始，而到</w:t>
      </w:r>
      <w:r>
        <w:rPr>
          <w:rFonts w:hint="eastAsia" w:ascii="华文楷体" w:hAnsi="华文楷体" w:eastAsia="华文楷体" w:cs="华文楷体"/>
          <w:color w:val="auto"/>
          <w:sz w:val="28"/>
          <w:szCs w:val="28"/>
          <w:lang w:val="en-US" w:eastAsia="zh-CN"/>
        </w:rPr>
        <w:t>时候就会发现，只有非常少的投资者做好准备了。</w:t>
      </w:r>
    </w:p>
    <w:p>
      <w:pPr>
        <w:pageBreakBefore w:val="0"/>
        <w:kinsoku/>
        <w:overflowPunct/>
        <w:topLinePunct w:val="0"/>
        <w:autoSpaceDE/>
        <w:autoSpaceDN/>
        <w:bidi w:val="0"/>
        <w:adjustRightInd/>
        <w:snapToGrid/>
        <w:ind w:firstLine="561" w:firstLineChars="200"/>
        <w:rPr>
          <w:rFonts w:hint="eastAsia" w:ascii="华文楷体" w:hAnsi="华文楷体" w:eastAsia="华文楷体" w:cs="华文楷体"/>
          <w:b/>
          <w:bCs/>
          <w:color w:val="auto"/>
          <w:sz w:val="28"/>
          <w:szCs w:val="28"/>
          <w:lang w:val="en-US" w:eastAsia="zh-CN"/>
        </w:rPr>
      </w:pPr>
      <w:r>
        <w:rPr>
          <w:rFonts w:hint="eastAsia" w:ascii="华文楷体" w:hAnsi="华文楷体" w:eastAsia="华文楷体" w:cs="华文楷体"/>
          <w:b/>
          <w:bCs/>
          <w:color w:val="auto"/>
          <w:sz w:val="28"/>
          <w:szCs w:val="28"/>
          <w:lang w:val="en-US" w:eastAsia="zh-CN"/>
        </w:rPr>
        <w:t>在当前的市场下，投资者是不是应该想一想有没有让自己睡不着的持仓呢？</w:t>
      </w:r>
    </w:p>
    <w:p>
      <w:pPr>
        <w:pageBreakBefore w:val="0"/>
        <w:kinsoku/>
        <w:overflowPunct/>
        <w:topLinePunct w:val="0"/>
        <w:autoSpaceDE/>
        <w:autoSpaceDN/>
        <w:bidi w:val="0"/>
        <w:adjustRightInd/>
        <w:snapToGrid/>
        <w:ind w:firstLine="560" w:firstLineChars="200"/>
        <w:rPr>
          <w:rFonts w:hint="eastAsia" w:ascii="华文楷体" w:hAnsi="华文楷体" w:eastAsia="华文楷体" w:cs="华文楷体"/>
          <w:color w:val="auto"/>
          <w:sz w:val="28"/>
          <w:szCs w:val="28"/>
          <w:lang w:val="en-US" w:eastAsia="zh-CN"/>
        </w:rPr>
      </w:pPr>
      <w:r>
        <w:rPr>
          <w:rFonts w:hint="eastAsia" w:ascii="华文楷体" w:hAnsi="华文楷体" w:eastAsia="华文楷体" w:cs="华文楷体"/>
          <w:color w:val="auto"/>
          <w:sz w:val="28"/>
          <w:szCs w:val="28"/>
          <w:lang w:val="en-US" w:eastAsia="zh-CN"/>
        </w:rPr>
        <w:t>-----------------</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rPr>
          <w:rStyle w:val="11"/>
          <w:rFonts w:hint="eastAsia" w:ascii="华文楷体" w:hAnsi="华文楷体" w:eastAsia="华文楷体" w:cs="华文楷体"/>
          <w:b/>
          <w:i w:val="0"/>
          <w:caps w:val="0"/>
          <w:color w:val="auto"/>
          <w:spacing w:val="0"/>
          <w:sz w:val="28"/>
          <w:szCs w:val="28"/>
          <w:shd w:val="clear" w:fill="FFFFFF"/>
          <w:lang w:val="en-US" w:eastAsia="zh-CN"/>
        </w:rPr>
      </w:pPr>
    </w:p>
    <w:p>
      <w:pPr>
        <w:pStyle w:val="3"/>
        <w:pageBreakBefore w:val="0"/>
        <w:kinsoku/>
        <w:overflowPunct/>
        <w:topLinePunct w:val="0"/>
        <w:autoSpaceDE/>
        <w:autoSpaceDN/>
        <w:bidi w:val="0"/>
        <w:adjustRightInd/>
        <w:snapToGrid/>
        <w:ind w:firstLine="643" w:firstLineChars="200"/>
        <w:jc w:val="center"/>
        <w:rPr>
          <w:rFonts w:hint="eastAsia"/>
          <w:color w:val="auto"/>
        </w:rPr>
      </w:pPr>
      <w:bookmarkStart w:id="6" w:name="_Toc11167"/>
      <w:r>
        <w:rPr>
          <w:rFonts w:hint="eastAsia"/>
          <w:color w:val="auto"/>
        </w:rPr>
        <w:t>流动性折价</w:t>
      </w:r>
      <w:bookmarkEnd w:id="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56" w:beforeAutospacing="0" w:after="156" w:afterAutospacing="0"/>
        <w:ind w:left="0" w:right="0" w:firstLine="560" w:firstLineChars="200"/>
        <w:jc w:val="center"/>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2015.5.18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56" w:beforeAutospacing="0" w:after="156" w:afterAutospacing="0"/>
        <w:ind w:left="0" w:right="0" w:firstLine="560" w:firstLineChars="200"/>
        <w:jc w:val="left"/>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我们经常可以见到，同样行业且业务模式类似的公司，由于上市地的不同，存在明显的估值差距。甚至对于在A/H或A/B两地上市的同一个公司，在两地市场的股价也常有明显的差异。通常来说，在香港、美国、B股市场上市的企业相比在A股上市的企业有一定的估值折价，往往是公司市值越小，折价越明显。除了资金偏好等原因以外，</w:t>
      </w:r>
      <w:r>
        <w:rPr>
          <w:rFonts w:hint="eastAsia" w:ascii="华文楷体" w:hAnsi="华文楷体" w:eastAsia="华文楷体" w:cs="华文楷体"/>
          <w:b/>
          <w:bCs/>
          <w:i w:val="0"/>
          <w:caps w:val="0"/>
          <w:color w:val="auto"/>
          <w:spacing w:val="0"/>
          <w:kern w:val="0"/>
          <w:sz w:val="28"/>
          <w:szCs w:val="28"/>
          <w:shd w:val="clear" w:fill="FFFFFF"/>
          <w:lang w:val="en-US" w:eastAsia="zh-CN" w:bidi="ar"/>
        </w:rPr>
        <w:t>流动性水平的差异是形成折价的重要原因。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56" w:beforeAutospacing="0" w:after="156" w:afterAutospacing="0"/>
        <w:ind w:left="0" w:right="0" w:firstLine="560" w:firstLineChars="200"/>
        <w:jc w:val="left"/>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56" w:beforeAutospacing="0" w:after="156" w:afterAutospacing="0"/>
        <w:ind w:left="0" w:right="0" w:firstLine="560" w:firstLineChars="200"/>
        <w:jc w:val="left"/>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以香港市场为例，2015年一季度恒生大型、中型、小型和非成分股的年化换手率分别为159%、80%、83%和46%。与此对比的是，A股创业板的年化换手率超过1200%，流动性的差异自然可以部分解释估值的差距了。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 </w:t>
      </w:r>
    </w:p>
    <w:tbl>
      <w:tblPr>
        <w:tblStyle w:val="14"/>
        <w:tblW w:w="8336" w:type="dxa"/>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142"/>
        <w:gridCol w:w="992"/>
        <w:gridCol w:w="709"/>
        <w:gridCol w:w="1135"/>
        <w:gridCol w:w="1417"/>
        <w:gridCol w:w="1210"/>
        <w:gridCol w:w="731"/>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rHeight w:val="426" w:hRule="atLeast"/>
        </w:trPr>
        <w:tc>
          <w:tcPr>
            <w:tcW w:w="2142" w:type="dxa"/>
            <w:tcBorders>
              <w:top w:val="single" w:color="auto" w:sz="8" w:space="0"/>
              <w:left w:val="single" w:color="auto" w:sz="8" w:space="0"/>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rPr>
              <w:t>　</w:t>
            </w:r>
          </w:p>
        </w:tc>
        <w:tc>
          <w:tcPr>
            <w:tcW w:w="992" w:type="dxa"/>
            <w:tcBorders>
              <w:top w:val="single" w:color="auto" w:sz="8" w:space="0"/>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1"/>
                <w:rFonts w:hint="eastAsia" w:ascii="华文楷体" w:hAnsi="华文楷体" w:eastAsia="华文楷体" w:cs="华文楷体"/>
                <w:i w:val="0"/>
                <w:caps w:val="0"/>
                <w:color w:val="auto"/>
                <w:spacing w:val="0"/>
                <w:sz w:val="28"/>
                <w:szCs w:val="28"/>
              </w:rPr>
              <w:t>股票数量</w:t>
            </w:r>
          </w:p>
        </w:tc>
        <w:tc>
          <w:tcPr>
            <w:tcW w:w="709" w:type="dxa"/>
            <w:tcBorders>
              <w:top w:val="single" w:color="auto" w:sz="8" w:space="0"/>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1"/>
                <w:rFonts w:hint="eastAsia" w:ascii="华文楷体" w:hAnsi="华文楷体" w:eastAsia="华文楷体" w:cs="华文楷体"/>
                <w:i w:val="0"/>
                <w:caps w:val="0"/>
                <w:color w:val="auto"/>
                <w:spacing w:val="0"/>
                <w:sz w:val="28"/>
                <w:szCs w:val="28"/>
              </w:rPr>
              <w:t>市值占比</w:t>
            </w:r>
          </w:p>
        </w:tc>
        <w:tc>
          <w:tcPr>
            <w:tcW w:w="1135" w:type="dxa"/>
            <w:tcBorders>
              <w:top w:val="single" w:color="auto" w:sz="8" w:space="0"/>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1"/>
                <w:rFonts w:hint="eastAsia" w:ascii="华文楷体" w:hAnsi="华文楷体" w:eastAsia="华文楷体" w:cs="华文楷体"/>
                <w:i w:val="0"/>
                <w:caps w:val="0"/>
                <w:color w:val="auto"/>
                <w:spacing w:val="0"/>
                <w:sz w:val="28"/>
                <w:szCs w:val="28"/>
              </w:rPr>
              <w:t>平均市值</w:t>
            </w:r>
            <w:r>
              <w:rPr>
                <w:rStyle w:val="11"/>
                <w:rFonts w:hint="eastAsia" w:ascii="华文楷体" w:hAnsi="华文楷体" w:eastAsia="华文楷体" w:cs="华文楷体"/>
                <w:i w:val="0"/>
                <w:caps w:val="0"/>
                <w:color w:val="auto"/>
                <w:spacing w:val="0"/>
                <w:sz w:val="28"/>
                <w:szCs w:val="28"/>
                <w:lang w:val="en-US"/>
              </w:rPr>
              <w:t>(</w:t>
            </w:r>
            <w:r>
              <w:rPr>
                <w:rStyle w:val="11"/>
                <w:rFonts w:hint="eastAsia" w:ascii="华文楷体" w:hAnsi="华文楷体" w:eastAsia="华文楷体" w:cs="华文楷体"/>
                <w:i w:val="0"/>
                <w:caps w:val="0"/>
                <w:color w:val="auto"/>
                <w:spacing w:val="0"/>
                <w:sz w:val="28"/>
                <w:szCs w:val="28"/>
              </w:rPr>
              <w:t>亿港元</w:t>
            </w:r>
            <w:r>
              <w:rPr>
                <w:rStyle w:val="11"/>
                <w:rFonts w:hint="eastAsia" w:ascii="华文楷体" w:hAnsi="华文楷体" w:eastAsia="华文楷体" w:cs="华文楷体"/>
                <w:i w:val="0"/>
                <w:caps w:val="0"/>
                <w:color w:val="auto"/>
                <w:spacing w:val="0"/>
                <w:sz w:val="28"/>
                <w:szCs w:val="28"/>
                <w:lang w:val="en-US"/>
              </w:rPr>
              <w:t>)</w:t>
            </w:r>
          </w:p>
        </w:tc>
        <w:tc>
          <w:tcPr>
            <w:tcW w:w="1417" w:type="dxa"/>
            <w:tcBorders>
              <w:top w:val="single" w:color="auto" w:sz="8" w:space="0"/>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1"/>
                <w:rFonts w:hint="eastAsia" w:ascii="华文楷体" w:hAnsi="华文楷体" w:eastAsia="华文楷体" w:cs="华文楷体"/>
                <w:i w:val="0"/>
                <w:caps w:val="0"/>
                <w:color w:val="auto"/>
                <w:spacing w:val="0"/>
                <w:sz w:val="28"/>
                <w:szCs w:val="28"/>
                <w:lang w:val="en-US"/>
              </w:rPr>
              <w:t>2015Q1</w:t>
            </w:r>
            <w:r>
              <w:rPr>
                <w:rStyle w:val="11"/>
                <w:rFonts w:hint="eastAsia" w:ascii="华文楷体" w:hAnsi="华文楷体" w:eastAsia="华文楷体" w:cs="华文楷体"/>
                <w:i w:val="0"/>
                <w:caps w:val="0"/>
                <w:color w:val="auto"/>
                <w:spacing w:val="0"/>
                <w:sz w:val="28"/>
                <w:szCs w:val="28"/>
              </w:rPr>
              <w:t>日均成交额</w:t>
            </w:r>
            <w:r>
              <w:rPr>
                <w:rStyle w:val="11"/>
                <w:rFonts w:hint="eastAsia" w:ascii="华文楷体" w:hAnsi="华文楷体" w:eastAsia="华文楷体" w:cs="华文楷体"/>
                <w:i w:val="0"/>
                <w:caps w:val="0"/>
                <w:color w:val="auto"/>
                <w:spacing w:val="0"/>
                <w:sz w:val="28"/>
                <w:szCs w:val="28"/>
                <w:lang w:val="en-US"/>
              </w:rPr>
              <w:t>(</w:t>
            </w:r>
            <w:r>
              <w:rPr>
                <w:rStyle w:val="11"/>
                <w:rFonts w:hint="eastAsia" w:ascii="华文楷体" w:hAnsi="华文楷体" w:eastAsia="华文楷体" w:cs="华文楷体"/>
                <w:i w:val="0"/>
                <w:caps w:val="0"/>
                <w:color w:val="auto"/>
                <w:spacing w:val="0"/>
                <w:sz w:val="28"/>
                <w:szCs w:val="28"/>
              </w:rPr>
              <w:t>亿港元</w:t>
            </w:r>
            <w:r>
              <w:rPr>
                <w:rStyle w:val="11"/>
                <w:rFonts w:hint="eastAsia" w:ascii="华文楷体" w:hAnsi="华文楷体" w:eastAsia="华文楷体" w:cs="华文楷体"/>
                <w:i w:val="0"/>
                <w:caps w:val="0"/>
                <w:color w:val="auto"/>
                <w:spacing w:val="0"/>
                <w:sz w:val="28"/>
                <w:szCs w:val="28"/>
                <w:lang w:val="en-US"/>
              </w:rPr>
              <w:t>)</w:t>
            </w:r>
          </w:p>
        </w:tc>
        <w:tc>
          <w:tcPr>
            <w:tcW w:w="1210" w:type="dxa"/>
            <w:tcBorders>
              <w:top w:val="single" w:color="auto" w:sz="8" w:space="0"/>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1"/>
                <w:rFonts w:hint="eastAsia" w:ascii="华文楷体" w:hAnsi="华文楷体" w:eastAsia="华文楷体" w:cs="华文楷体"/>
                <w:i w:val="0"/>
                <w:caps w:val="0"/>
                <w:color w:val="auto"/>
                <w:spacing w:val="0"/>
                <w:sz w:val="28"/>
                <w:szCs w:val="28"/>
              </w:rPr>
              <w:t>平均每只成交</w:t>
            </w:r>
            <w:r>
              <w:rPr>
                <w:rStyle w:val="11"/>
                <w:rFonts w:hint="eastAsia" w:ascii="华文楷体" w:hAnsi="华文楷体" w:eastAsia="华文楷体" w:cs="华文楷体"/>
                <w:i w:val="0"/>
                <w:caps w:val="0"/>
                <w:color w:val="auto"/>
                <w:spacing w:val="0"/>
                <w:sz w:val="28"/>
                <w:szCs w:val="28"/>
                <w:lang w:val="en-US"/>
              </w:rPr>
              <w:t>(</w:t>
            </w:r>
            <w:r>
              <w:rPr>
                <w:rStyle w:val="11"/>
                <w:rFonts w:hint="eastAsia" w:ascii="华文楷体" w:hAnsi="华文楷体" w:eastAsia="华文楷体" w:cs="华文楷体"/>
                <w:i w:val="0"/>
                <w:caps w:val="0"/>
                <w:color w:val="auto"/>
                <w:spacing w:val="0"/>
                <w:sz w:val="28"/>
                <w:szCs w:val="28"/>
              </w:rPr>
              <w:t>亿港元</w:t>
            </w:r>
            <w:r>
              <w:rPr>
                <w:rStyle w:val="11"/>
                <w:rFonts w:hint="eastAsia" w:ascii="华文楷体" w:hAnsi="华文楷体" w:eastAsia="华文楷体" w:cs="华文楷体"/>
                <w:i w:val="0"/>
                <w:caps w:val="0"/>
                <w:color w:val="auto"/>
                <w:spacing w:val="0"/>
                <w:sz w:val="28"/>
                <w:szCs w:val="28"/>
                <w:lang w:val="en-US"/>
              </w:rPr>
              <w:t>)</w:t>
            </w:r>
          </w:p>
        </w:tc>
        <w:tc>
          <w:tcPr>
            <w:tcW w:w="731" w:type="dxa"/>
            <w:tcBorders>
              <w:top w:val="single" w:color="auto" w:sz="8" w:space="0"/>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1"/>
                <w:rFonts w:hint="eastAsia" w:ascii="华文楷体" w:hAnsi="华文楷体" w:eastAsia="华文楷体" w:cs="华文楷体"/>
                <w:i w:val="0"/>
                <w:caps w:val="0"/>
                <w:color w:val="auto"/>
                <w:spacing w:val="0"/>
                <w:sz w:val="28"/>
                <w:szCs w:val="28"/>
              </w:rPr>
              <w:t>年换手率</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1" w:hRule="atLeast"/>
        </w:trPr>
        <w:tc>
          <w:tcPr>
            <w:tcW w:w="2142" w:type="dxa"/>
            <w:tcBorders>
              <w:top w:val="nil"/>
              <w:left w:val="single" w:color="auto" w:sz="8" w:space="0"/>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1"/>
                <w:rFonts w:hint="eastAsia" w:ascii="华文楷体" w:hAnsi="华文楷体" w:eastAsia="华文楷体" w:cs="华文楷体"/>
                <w:i w:val="0"/>
                <w:caps w:val="0"/>
                <w:color w:val="auto"/>
                <w:spacing w:val="0"/>
                <w:sz w:val="28"/>
                <w:szCs w:val="28"/>
              </w:rPr>
              <w:t>恒生大型股指数成分</w:t>
            </w:r>
          </w:p>
        </w:tc>
        <w:tc>
          <w:tcPr>
            <w:tcW w:w="992"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90</w:t>
            </w:r>
          </w:p>
        </w:tc>
        <w:tc>
          <w:tcPr>
            <w:tcW w:w="709"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76%</w:t>
            </w:r>
          </w:p>
        </w:tc>
        <w:tc>
          <w:tcPr>
            <w:tcW w:w="1135"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2258</w:t>
            </w:r>
          </w:p>
        </w:tc>
        <w:tc>
          <w:tcPr>
            <w:tcW w:w="1417"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1" w:firstLineChars="200"/>
              <w:jc w:val="left"/>
              <w:textAlignment w:val="center"/>
              <w:rPr>
                <w:rFonts w:hint="eastAsia" w:ascii="华文楷体" w:hAnsi="华文楷体" w:eastAsia="华文楷体" w:cs="华文楷体"/>
                <w:color w:val="auto"/>
                <w:sz w:val="28"/>
                <w:szCs w:val="28"/>
              </w:rPr>
            </w:pPr>
            <w:r>
              <w:rPr>
                <w:rStyle w:val="11"/>
                <w:rFonts w:hint="eastAsia" w:ascii="华文楷体" w:hAnsi="华文楷体" w:eastAsia="华文楷体" w:cs="华文楷体"/>
                <w:i w:val="0"/>
                <w:caps w:val="0"/>
                <w:color w:val="auto"/>
                <w:spacing w:val="0"/>
                <w:sz w:val="28"/>
                <w:szCs w:val="28"/>
                <w:lang w:val="en-US"/>
              </w:rPr>
              <w:t>351</w:t>
            </w:r>
          </w:p>
        </w:tc>
        <w:tc>
          <w:tcPr>
            <w:tcW w:w="1210"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3.9</w:t>
            </w:r>
          </w:p>
        </w:tc>
        <w:tc>
          <w:tcPr>
            <w:tcW w:w="731" w:type="dxa"/>
            <w:tcBorders>
              <w:top w:val="nil"/>
              <w:left w:val="nil"/>
              <w:bottom w:val="single" w:color="auto" w:sz="8" w:space="0"/>
              <w:right w:val="single" w:color="auto" w:sz="8" w:space="0"/>
            </w:tcBorders>
            <w:shd w:val="clear" w:color="auto" w:fill="FFFF00"/>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1"/>
                <w:rFonts w:hint="eastAsia" w:ascii="华文楷体" w:hAnsi="华文楷体" w:eastAsia="华文楷体" w:cs="华文楷体"/>
                <w:i w:val="0"/>
                <w:caps w:val="0"/>
                <w:color w:val="auto"/>
                <w:spacing w:val="0"/>
                <w:sz w:val="28"/>
                <w:szCs w:val="28"/>
                <w:lang w:val="en-US"/>
              </w:rPr>
              <w:t>159%</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1" w:hRule="atLeast"/>
        </w:trPr>
        <w:tc>
          <w:tcPr>
            <w:tcW w:w="2142" w:type="dxa"/>
            <w:tcBorders>
              <w:top w:val="nil"/>
              <w:left w:val="single" w:color="auto" w:sz="8" w:space="0"/>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1"/>
                <w:rFonts w:hint="eastAsia" w:ascii="华文楷体" w:hAnsi="华文楷体" w:eastAsia="华文楷体" w:cs="华文楷体"/>
                <w:i w:val="0"/>
                <w:caps w:val="0"/>
                <w:color w:val="auto"/>
                <w:spacing w:val="0"/>
                <w:sz w:val="28"/>
                <w:szCs w:val="28"/>
              </w:rPr>
              <w:t>恒生中型股指数成分</w:t>
            </w:r>
          </w:p>
        </w:tc>
        <w:tc>
          <w:tcPr>
            <w:tcW w:w="992"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176</w:t>
            </w:r>
          </w:p>
        </w:tc>
        <w:tc>
          <w:tcPr>
            <w:tcW w:w="709"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14%</w:t>
            </w:r>
          </w:p>
        </w:tc>
        <w:tc>
          <w:tcPr>
            <w:tcW w:w="1135"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217</w:t>
            </w:r>
          </w:p>
        </w:tc>
        <w:tc>
          <w:tcPr>
            <w:tcW w:w="1417"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1" w:firstLineChars="200"/>
              <w:jc w:val="left"/>
              <w:textAlignment w:val="center"/>
              <w:rPr>
                <w:rFonts w:hint="eastAsia" w:ascii="华文楷体" w:hAnsi="华文楷体" w:eastAsia="华文楷体" w:cs="华文楷体"/>
                <w:color w:val="auto"/>
                <w:sz w:val="28"/>
                <w:szCs w:val="28"/>
              </w:rPr>
            </w:pPr>
            <w:r>
              <w:rPr>
                <w:rStyle w:val="11"/>
                <w:rFonts w:hint="eastAsia" w:ascii="华文楷体" w:hAnsi="华文楷体" w:eastAsia="华文楷体" w:cs="华文楷体"/>
                <w:i w:val="0"/>
                <w:caps w:val="0"/>
                <w:color w:val="auto"/>
                <w:spacing w:val="0"/>
                <w:sz w:val="28"/>
                <w:szCs w:val="28"/>
                <w:lang w:val="en-US"/>
              </w:rPr>
              <w:t>130</w:t>
            </w:r>
          </w:p>
        </w:tc>
        <w:tc>
          <w:tcPr>
            <w:tcW w:w="1210"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0.74</w:t>
            </w:r>
          </w:p>
        </w:tc>
        <w:tc>
          <w:tcPr>
            <w:tcW w:w="731" w:type="dxa"/>
            <w:tcBorders>
              <w:top w:val="nil"/>
              <w:left w:val="nil"/>
              <w:bottom w:val="single" w:color="auto" w:sz="8" w:space="0"/>
              <w:right w:val="single" w:color="auto" w:sz="8" w:space="0"/>
            </w:tcBorders>
            <w:shd w:val="clear" w:color="auto" w:fill="FFFF00"/>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1"/>
                <w:rFonts w:hint="eastAsia" w:ascii="华文楷体" w:hAnsi="华文楷体" w:eastAsia="华文楷体" w:cs="华文楷体"/>
                <w:i w:val="0"/>
                <w:caps w:val="0"/>
                <w:color w:val="auto"/>
                <w:spacing w:val="0"/>
                <w:sz w:val="28"/>
                <w:szCs w:val="28"/>
                <w:lang w:val="en-US"/>
              </w:rPr>
              <w:t>80%</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1" w:hRule="atLeast"/>
        </w:trPr>
        <w:tc>
          <w:tcPr>
            <w:tcW w:w="2142" w:type="dxa"/>
            <w:tcBorders>
              <w:top w:val="nil"/>
              <w:left w:val="single" w:color="auto" w:sz="8" w:space="0"/>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1"/>
                <w:rFonts w:hint="eastAsia" w:ascii="华文楷体" w:hAnsi="华文楷体" w:eastAsia="华文楷体" w:cs="华文楷体"/>
                <w:i w:val="0"/>
                <w:caps w:val="0"/>
                <w:color w:val="auto"/>
                <w:spacing w:val="0"/>
                <w:sz w:val="28"/>
                <w:szCs w:val="28"/>
              </w:rPr>
              <w:t>恒生小型股指数成分</w:t>
            </w:r>
          </w:p>
        </w:tc>
        <w:tc>
          <w:tcPr>
            <w:tcW w:w="992"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196</w:t>
            </w:r>
          </w:p>
        </w:tc>
        <w:tc>
          <w:tcPr>
            <w:tcW w:w="709"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5%</w:t>
            </w:r>
          </w:p>
        </w:tc>
        <w:tc>
          <w:tcPr>
            <w:tcW w:w="1135"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65</w:t>
            </w:r>
          </w:p>
        </w:tc>
        <w:tc>
          <w:tcPr>
            <w:tcW w:w="1417"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1" w:firstLineChars="200"/>
              <w:jc w:val="left"/>
              <w:textAlignment w:val="center"/>
              <w:rPr>
                <w:rFonts w:hint="eastAsia" w:ascii="华文楷体" w:hAnsi="华文楷体" w:eastAsia="华文楷体" w:cs="华文楷体"/>
                <w:color w:val="auto"/>
                <w:sz w:val="28"/>
                <w:szCs w:val="28"/>
              </w:rPr>
            </w:pPr>
            <w:r>
              <w:rPr>
                <w:rStyle w:val="11"/>
                <w:rFonts w:hint="eastAsia" w:ascii="华文楷体" w:hAnsi="华文楷体" w:eastAsia="华文楷体" w:cs="华文楷体"/>
                <w:i w:val="0"/>
                <w:caps w:val="0"/>
                <w:color w:val="auto"/>
                <w:spacing w:val="0"/>
                <w:sz w:val="28"/>
                <w:szCs w:val="28"/>
                <w:lang w:val="en-US"/>
              </w:rPr>
              <w:t>42</w:t>
            </w:r>
          </w:p>
        </w:tc>
        <w:tc>
          <w:tcPr>
            <w:tcW w:w="1210"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0.21</w:t>
            </w:r>
          </w:p>
        </w:tc>
        <w:tc>
          <w:tcPr>
            <w:tcW w:w="731" w:type="dxa"/>
            <w:tcBorders>
              <w:top w:val="nil"/>
              <w:left w:val="nil"/>
              <w:bottom w:val="single" w:color="auto" w:sz="8" w:space="0"/>
              <w:right w:val="single" w:color="auto" w:sz="8" w:space="0"/>
            </w:tcBorders>
            <w:shd w:val="clear" w:color="auto" w:fill="FFFF00"/>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1"/>
                <w:rFonts w:hint="eastAsia" w:ascii="华文楷体" w:hAnsi="华文楷体" w:eastAsia="华文楷体" w:cs="华文楷体"/>
                <w:i w:val="0"/>
                <w:caps w:val="0"/>
                <w:color w:val="auto"/>
                <w:spacing w:val="0"/>
                <w:sz w:val="28"/>
                <w:szCs w:val="28"/>
                <w:lang w:val="en-US"/>
              </w:rPr>
              <w:t>83%</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1" w:hRule="atLeast"/>
        </w:trPr>
        <w:tc>
          <w:tcPr>
            <w:tcW w:w="2142" w:type="dxa"/>
            <w:tcBorders>
              <w:top w:val="nil"/>
              <w:left w:val="single" w:color="auto" w:sz="8" w:space="0"/>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1"/>
                <w:rFonts w:hint="eastAsia" w:ascii="华文楷体" w:hAnsi="华文楷体" w:eastAsia="华文楷体" w:cs="华文楷体"/>
                <w:i w:val="0"/>
                <w:caps w:val="0"/>
                <w:color w:val="auto"/>
                <w:spacing w:val="0"/>
                <w:sz w:val="28"/>
                <w:szCs w:val="28"/>
              </w:rPr>
              <w:t>非综指成分主板股票</w:t>
            </w:r>
          </w:p>
        </w:tc>
        <w:tc>
          <w:tcPr>
            <w:tcW w:w="992"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1099</w:t>
            </w:r>
          </w:p>
        </w:tc>
        <w:tc>
          <w:tcPr>
            <w:tcW w:w="709"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5%</w:t>
            </w:r>
          </w:p>
        </w:tc>
        <w:tc>
          <w:tcPr>
            <w:tcW w:w="1135"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12</w:t>
            </w:r>
          </w:p>
        </w:tc>
        <w:tc>
          <w:tcPr>
            <w:tcW w:w="1417"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1" w:firstLineChars="200"/>
              <w:jc w:val="left"/>
              <w:textAlignment w:val="center"/>
              <w:rPr>
                <w:rFonts w:hint="eastAsia" w:ascii="华文楷体" w:hAnsi="华文楷体" w:eastAsia="华文楷体" w:cs="华文楷体"/>
                <w:color w:val="auto"/>
                <w:sz w:val="28"/>
                <w:szCs w:val="28"/>
              </w:rPr>
            </w:pPr>
            <w:r>
              <w:rPr>
                <w:rStyle w:val="11"/>
                <w:rFonts w:hint="eastAsia" w:ascii="华文楷体" w:hAnsi="华文楷体" w:eastAsia="华文楷体" w:cs="华文楷体"/>
                <w:i w:val="0"/>
                <w:caps w:val="0"/>
                <w:color w:val="auto"/>
                <w:spacing w:val="0"/>
                <w:sz w:val="28"/>
                <w:szCs w:val="28"/>
                <w:lang w:val="en-US"/>
              </w:rPr>
              <w:t>79</w:t>
            </w:r>
          </w:p>
        </w:tc>
        <w:tc>
          <w:tcPr>
            <w:tcW w:w="1210" w:type="dxa"/>
            <w:tcBorders>
              <w:top w:val="nil"/>
              <w:left w:val="nil"/>
              <w:bottom w:val="single" w:color="auto" w:sz="8" w:space="0"/>
              <w:right w:val="single" w:color="auto" w:sz="8" w:space="0"/>
            </w:tcBorders>
            <w:shd w:val="clear" w:color="auto" w:fill="FFFFFF"/>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textAlignment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lang w:val="en-US"/>
              </w:rPr>
              <w:t>0.07</w:t>
            </w:r>
          </w:p>
        </w:tc>
        <w:tc>
          <w:tcPr>
            <w:tcW w:w="731" w:type="dxa"/>
            <w:tcBorders>
              <w:top w:val="nil"/>
              <w:left w:val="nil"/>
              <w:bottom w:val="single" w:color="auto" w:sz="8" w:space="0"/>
              <w:right w:val="single" w:color="auto" w:sz="8" w:space="0"/>
            </w:tcBorders>
            <w:shd w:val="clear" w:color="auto" w:fill="FFFF00"/>
            <w:tcMar>
              <w:top w:w="15" w:type="dxa"/>
              <w:left w:w="15" w:type="dxa"/>
              <w:right w:w="15" w:type="dxa"/>
            </w:tcMar>
            <w:vAlign w:val="center"/>
          </w:tcPr>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right="0"/>
              <w:jc w:val="left"/>
              <w:textAlignment w:val="center"/>
              <w:rPr>
                <w:rFonts w:hint="eastAsia" w:ascii="华文楷体" w:hAnsi="华文楷体" w:eastAsia="华文楷体" w:cs="华文楷体"/>
                <w:color w:val="auto"/>
                <w:sz w:val="28"/>
                <w:szCs w:val="28"/>
              </w:rPr>
            </w:pPr>
            <w:r>
              <w:rPr>
                <w:rStyle w:val="11"/>
                <w:rFonts w:hint="eastAsia" w:ascii="华文楷体" w:hAnsi="华文楷体" w:eastAsia="华文楷体" w:cs="华文楷体"/>
                <w:i w:val="0"/>
                <w:caps w:val="0"/>
                <w:color w:val="auto"/>
                <w:spacing w:val="0"/>
                <w:sz w:val="28"/>
                <w:szCs w:val="28"/>
                <w:lang w:val="en-US"/>
              </w:rPr>
              <w:t>46%</w:t>
            </w:r>
          </w:p>
        </w:tc>
      </w:tr>
    </w:tbl>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然而，流动性折价的减弱往往带来明显的投资机会。B股市场过去也是一个流动性折价很高的市场。2001年2月，国家放开境内个人投资者投资B股市场。市场预期B股的流动性将有明显改善，B股指数在其后的3个多月涨了近3倍，而同期的A股指数仅上涨10%左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那么，香港市场是否也面临类似的机遇呢？本届政府的领导人多次表态要推进人民币的国际化，而资本市场的逐步开放是不可或缺的一环。政府领导人也多次表态将推出深港通，并考虑QDII2等资本项目逐步开放的举措。</w:t>
      </w:r>
      <w:r>
        <w:rPr>
          <w:rFonts w:hint="eastAsia" w:ascii="华文楷体" w:hAnsi="华文楷体" w:eastAsia="华文楷体" w:cs="华文楷体"/>
          <w:b/>
          <w:bCs/>
          <w:i w:val="0"/>
          <w:caps w:val="0"/>
          <w:color w:val="auto"/>
          <w:spacing w:val="0"/>
          <w:kern w:val="0"/>
          <w:sz w:val="28"/>
          <w:szCs w:val="28"/>
          <w:shd w:val="clear" w:fill="FFFFFF"/>
          <w:lang w:val="en-US" w:eastAsia="zh-CN" w:bidi="ar"/>
        </w:rPr>
        <w:t>香港作为最近的离岸金融中心，随着人民币国际化的推进，其股票市场有望率先受益，随着国内的流动性注入，与A股估值差距巨大的中小市值股票有望最为明显的收益。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 --------------------------</w:t>
      </w:r>
    </w:p>
    <w:p>
      <w:pPr>
        <w:pStyle w:val="3"/>
        <w:pageBreakBefore w:val="0"/>
        <w:kinsoku/>
        <w:overflowPunct/>
        <w:topLinePunct w:val="0"/>
        <w:autoSpaceDE/>
        <w:autoSpaceDN/>
        <w:bidi w:val="0"/>
        <w:adjustRightInd/>
        <w:snapToGrid/>
        <w:ind w:firstLine="643" w:firstLineChars="200"/>
        <w:jc w:val="center"/>
        <w:rPr>
          <w:rFonts w:hint="eastAsia"/>
          <w:color w:val="auto"/>
        </w:rPr>
      </w:pPr>
      <w:bookmarkStart w:id="7" w:name="_Toc14423"/>
      <w:r>
        <w:rPr>
          <w:rFonts w:hint="eastAsia"/>
          <w:color w:val="auto"/>
        </w:rPr>
        <w:t>海水和火焰</w:t>
      </w:r>
      <w:bookmarkEnd w:id="7"/>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jc w:val="center"/>
        <w:rPr>
          <w:rFonts w:hint="eastAsia" w:ascii="华文楷体" w:hAnsi="华文楷体" w:eastAsia="华文楷体" w:cs="华文楷体"/>
          <w:i w:val="0"/>
          <w:caps w:val="0"/>
          <w:color w:val="auto"/>
          <w:spacing w:val="0"/>
          <w:sz w:val="28"/>
          <w:szCs w:val="28"/>
          <w:lang w:val="en-US" w:eastAsia="zh-CN"/>
        </w:rPr>
      </w:pPr>
      <w:r>
        <w:rPr>
          <w:rFonts w:hint="eastAsia" w:ascii="华文楷体" w:hAnsi="华文楷体" w:eastAsia="华文楷体" w:cs="华文楷体"/>
          <w:i w:val="0"/>
          <w:caps w:val="0"/>
          <w:color w:val="auto"/>
          <w:spacing w:val="0"/>
          <w:sz w:val="28"/>
          <w:szCs w:val="28"/>
          <w:lang w:val="en-US" w:eastAsia="zh-CN"/>
        </w:rPr>
        <w:t>2015.11.23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A股市场最近如火如荼，其中一个引人注目的股票是七喜控股。2013年从纳斯达克退市的分众传媒借壳七喜控股登陆A股市场，按照发行后的股本计算，市值已经超过2500亿，相比分众传媒退市时不到230亿人民币的市值已经翻了10倍，私有化财团的收益率相当惊人。其实分众传媒并非个案，被巨人网络借壳的世纪游轮仍在连续无量涨停中。目前已经有几十家中概股公司提出了私有化预案，按照目前两地市场的估值体系差异，市值回归后增加5倍应该不是难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1" w:firstLineChars="200"/>
        <w:jc w:val="left"/>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b/>
          <w:bCs/>
          <w:i w:val="0"/>
          <w:caps w:val="0"/>
          <w:color w:val="auto"/>
          <w:spacing w:val="0"/>
          <w:kern w:val="0"/>
          <w:sz w:val="28"/>
          <w:szCs w:val="28"/>
          <w:shd w:val="clear" w:fill="FFFFFF"/>
          <w:lang w:val="en-US" w:eastAsia="zh-CN" w:bidi="ar"/>
        </w:rPr>
        <w:t>同样是中国的企业，在美国和香港上市和在A股市场上市对比就像海水和火焰一样。</w:t>
      </w:r>
      <w:r>
        <w:rPr>
          <w:rFonts w:hint="eastAsia" w:ascii="华文楷体" w:hAnsi="华文楷体" w:eastAsia="华文楷体" w:cs="华文楷体"/>
          <w:i w:val="0"/>
          <w:caps w:val="0"/>
          <w:color w:val="auto"/>
          <w:spacing w:val="0"/>
          <w:kern w:val="0"/>
          <w:sz w:val="28"/>
          <w:szCs w:val="28"/>
          <w:shd w:val="clear" w:fill="FFFFFF"/>
          <w:lang w:val="en-US" w:eastAsia="zh-CN" w:bidi="ar"/>
        </w:rPr>
        <w:t>在信息沟通发达的互联网时代，这种现象仍然存在就有其合理性。</w:t>
      </w:r>
      <w:r>
        <w:rPr>
          <w:rFonts w:hint="eastAsia" w:ascii="华文楷体" w:hAnsi="华文楷体" w:eastAsia="华文楷体" w:cs="华文楷体"/>
          <w:b/>
          <w:bCs/>
          <w:i w:val="0"/>
          <w:caps w:val="0"/>
          <w:color w:val="auto"/>
          <w:spacing w:val="0"/>
          <w:kern w:val="0"/>
          <w:sz w:val="28"/>
          <w:szCs w:val="28"/>
          <w:shd w:val="clear" w:fill="FFFFFF"/>
          <w:lang w:val="en-US" w:eastAsia="zh-CN" w:bidi="ar"/>
        </w:rPr>
        <w:t>对A股市场来说，投资者是非常慷慨的，一定程度扮演着VC和PE的角色，乐于承担融资功能。</w:t>
      </w:r>
      <w:r>
        <w:rPr>
          <w:rFonts w:hint="eastAsia" w:ascii="华文楷体" w:hAnsi="华文楷体" w:eastAsia="华文楷体" w:cs="华文楷体"/>
          <w:b w:val="0"/>
          <w:bCs w:val="0"/>
          <w:i w:val="0"/>
          <w:caps w:val="0"/>
          <w:color w:val="auto"/>
          <w:spacing w:val="0"/>
          <w:kern w:val="0"/>
          <w:sz w:val="28"/>
          <w:szCs w:val="28"/>
          <w:shd w:val="clear" w:fill="FFFFFF"/>
          <w:lang w:val="en-US" w:eastAsia="zh-CN" w:bidi="ar"/>
        </w:rPr>
        <w:t>只要一个公司可以向投资者描述未来发展的美好远景，一批一批的投资者就扮演着A轮、B轮、C轮的角色，不断投入并不计较公司有所回报。</w:t>
      </w:r>
      <w:r>
        <w:rPr>
          <w:rFonts w:hint="eastAsia" w:ascii="华文楷体" w:hAnsi="华文楷体" w:eastAsia="华文楷体" w:cs="华文楷体"/>
          <w:b/>
          <w:bCs/>
          <w:i w:val="0"/>
          <w:caps w:val="0"/>
          <w:color w:val="auto"/>
          <w:spacing w:val="0"/>
          <w:kern w:val="0"/>
          <w:sz w:val="28"/>
          <w:szCs w:val="28"/>
          <w:shd w:val="clear" w:fill="FFFFFF"/>
          <w:lang w:val="en-US" w:eastAsia="zh-CN" w:bidi="ar"/>
        </w:rPr>
        <w:t>反观海外市场，二级市场投资者和一级市场投资者角色有着明确的划分，对于二级市场投资者来说，主要诉求就是索取。</w:t>
      </w:r>
      <w:r>
        <w:rPr>
          <w:rFonts w:hint="eastAsia" w:ascii="华文楷体" w:hAnsi="华文楷体" w:eastAsia="华文楷体" w:cs="华文楷体"/>
          <w:i w:val="0"/>
          <w:caps w:val="0"/>
          <w:color w:val="auto"/>
          <w:spacing w:val="0"/>
          <w:kern w:val="0"/>
          <w:sz w:val="28"/>
          <w:szCs w:val="28"/>
          <w:shd w:val="clear" w:fill="FFFFFF"/>
          <w:lang w:val="en-US" w:eastAsia="zh-CN" w:bidi="ar"/>
        </w:rPr>
        <w:t>投资者要求上市公司回报，即使暂时无法回报，也要有清晰的逻辑和时间表说明未来可以。投资者对上市公司的索取行为例如融资通常是很抗拒的。中概股最近的合并潮如携程和去哪儿等，一定程度与投资者的偏好是相关的，</w:t>
      </w:r>
      <w:r>
        <w:rPr>
          <w:rFonts w:hint="eastAsia" w:ascii="华文楷体" w:hAnsi="华文楷体" w:eastAsia="华文楷体" w:cs="华文楷体"/>
          <w:b/>
          <w:bCs/>
          <w:i w:val="0"/>
          <w:caps w:val="0"/>
          <w:color w:val="auto"/>
          <w:spacing w:val="0"/>
          <w:kern w:val="0"/>
          <w:sz w:val="28"/>
          <w:szCs w:val="28"/>
          <w:shd w:val="clear" w:fill="FFFFFF"/>
          <w:lang w:val="en-US" w:eastAsia="zh-CN" w:bidi="ar"/>
        </w:rPr>
        <w:t>投资者逐步厌倦了不断烧股东的钱还看不到清晰回报的时间表。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从概率来说，现阶段承载着梦想的A股公司中，未来几乎必然诞生伟大的企业。就如2000年的亚马逊一样，虽然其估值已经比当年低了很多，股价却早已超过2000年的高点很多。但是同样不可忽略的是，这也是一个小概率事件，纳斯达克上市公司中能够超越2000年高点的公司只有当时数量的不到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b/>
          <w:bCs/>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对于投资者来说，其主要的工作就是预测未来。但预测未来是非常困难的，对于专业投资者，投资决策能达到55%的正确率已经非常了不起。在2000年的纳斯达克市场，由于付出了过高的代价，对未来预测正确的概率已经不到5%。</w:t>
      </w:r>
      <w:r>
        <w:rPr>
          <w:rFonts w:hint="eastAsia" w:ascii="华文楷体" w:hAnsi="华文楷体" w:eastAsia="华文楷体" w:cs="华文楷体"/>
          <w:b/>
          <w:bCs/>
          <w:i w:val="0"/>
          <w:caps w:val="0"/>
          <w:color w:val="auto"/>
          <w:spacing w:val="0"/>
          <w:kern w:val="0"/>
          <w:sz w:val="28"/>
          <w:szCs w:val="28"/>
          <w:shd w:val="clear" w:fill="FFFFFF"/>
          <w:lang w:val="en-US" w:eastAsia="zh-CN" w:bidi="ar"/>
        </w:rPr>
        <w:t>股市的魅力就在于权益代表的剩余价值，其波动性和收益性同样都非常大，投资者要做的是想方设法封杀下行风险，让收益不断向上的波动。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kern w:val="0"/>
          <w:sz w:val="28"/>
          <w:szCs w:val="28"/>
          <w:shd w:val="clear" w:fill="FFFFFF"/>
          <w:lang w:val="en-US" w:eastAsia="zh-CN" w:bidi="ar"/>
        </w:rPr>
      </w:pPr>
    </w:p>
    <w:p>
      <w:pPr>
        <w:pStyle w:val="3"/>
        <w:pageBreakBefore w:val="0"/>
        <w:kinsoku/>
        <w:overflowPunct/>
        <w:topLinePunct w:val="0"/>
        <w:autoSpaceDE/>
        <w:autoSpaceDN/>
        <w:bidi w:val="0"/>
        <w:adjustRightInd/>
        <w:snapToGrid/>
        <w:ind w:firstLine="643" w:firstLineChars="200"/>
        <w:jc w:val="center"/>
        <w:rPr>
          <w:rFonts w:hint="eastAsia"/>
          <w:color w:val="auto"/>
        </w:rPr>
      </w:pPr>
      <w:bookmarkStart w:id="8" w:name="_Toc15157"/>
      <w:r>
        <w:rPr>
          <w:rFonts w:hint="eastAsia"/>
          <w:color w:val="auto"/>
        </w:rPr>
        <w:t>独立思考</w:t>
      </w:r>
      <w:bookmarkEnd w:id="8"/>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jc w:val="center"/>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日期：2016-07-15</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 xml:space="preserve">  </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b/>
          <w:bCs/>
          <w:i w:val="0"/>
          <w:caps w:val="0"/>
          <w:color w:val="auto"/>
          <w:spacing w:val="0"/>
          <w:sz w:val="28"/>
          <w:szCs w:val="28"/>
        </w:rPr>
      </w:pPr>
      <w:r>
        <w:rPr>
          <w:rFonts w:hint="eastAsia" w:ascii="华文楷体" w:hAnsi="华文楷体" w:eastAsia="华文楷体" w:cs="华文楷体"/>
          <w:i w:val="0"/>
          <w:caps w:val="0"/>
          <w:color w:val="auto"/>
          <w:spacing w:val="0"/>
          <w:sz w:val="28"/>
          <w:szCs w:val="28"/>
        </w:rPr>
        <w:t>  最近读了一本畅销书，以色列作家尤瓦尔•赫拉利写的《人类简史——从动物到上帝》，书中提出了很多新颖但有争议的观点，可见作者并不为主流观点所束缚，经过了独立思考后写成了此书。 首先，作者指出宇宙中根本没有国家、没有钱、没有人权、没有法律、没有信仰、没有公司，这些东西都只存在于人类自己的发明并相互讲述的故事里，人类正是靠这些虚拟的故事生活在一起。这些虚构的故事由于存在的时间太久，大家已经当成理所当然的了。人类从出生就被种种虚构的故事和概念围绕，让他们以特定的方式思考和行事，这种人造的规范就是“文化”。这种所谓的文化，不管是汉莫拉比还是美国的开国元勋，心中都有个想象着的世界放之四海皆准、永恒不变的正义原则（例如阶级、自由和平等）。然而这种原则只存在于人类丰富的想象力里，这些原则从来就没有客观的正确性。 其次，科技进步无法带来福利的增加。毫无疑问，科技进步带来了人类生产力的巨大进步，但是不会给人类带来更多的快乐。快乐并不在于任何像是财富、健康之类的客观条件，而在于客观条件和主观期望之间是否相符。顺利的时候，我们的期望跟着膨胀，就算客观条件改善了，我们还是可能不满意。而在一切不顺的时候，我们的期望也变得保守，于是就算碰上其他麻烦，很可能心情也不会更加低落。人类演化的结果，就是不会太快乐，也不会太痛苦。我们会短暂感受到快乐，但不会永远持续。迟早快乐会消退，让我们再次感到痛苦。虽然科技进步让现代人类拥有强大的多的力量，却未必拥有比2000年前人类猎狩到长毛象时更多的快乐。因此，人类偶然发现了能够带来快感的咖啡、烟、酒甚至毒品后，迅速将其发展为全球巨大的产业。 作者的这些观点是否正确我无法断言，但我认为至少从逻辑上是自洽的。</w:t>
      </w:r>
      <w:r>
        <w:rPr>
          <w:rFonts w:hint="eastAsia" w:ascii="华文楷体" w:hAnsi="华文楷体" w:eastAsia="华文楷体" w:cs="华文楷体"/>
          <w:b/>
          <w:bCs/>
          <w:i w:val="0"/>
          <w:caps w:val="0"/>
          <w:color w:val="auto"/>
          <w:spacing w:val="0"/>
          <w:sz w:val="28"/>
          <w:szCs w:val="28"/>
        </w:rPr>
        <w:t>资本市场也有太多流传许久的各种规则，这些规则由于流传的太久以至于大多数投资者已经把它们当成理所当然正确的了。或许我们应该重新独立思考一下，这些所谓的规则实则为“虚构的概念”是否是正确的，是否是可以持续的。</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rPr>
          <w:rFonts w:hint="eastAsia" w:ascii="华文楷体" w:hAnsi="华文楷体" w:eastAsia="华文楷体" w:cs="华文楷体"/>
          <w:i w:val="0"/>
          <w:caps w:val="0"/>
          <w:color w:val="auto"/>
          <w:spacing w:val="0"/>
          <w:sz w:val="28"/>
          <w:szCs w:val="28"/>
          <w:lang w:val="en-US" w:eastAsia="zh-CN"/>
        </w:rPr>
      </w:pPr>
      <w:r>
        <w:rPr>
          <w:rFonts w:hint="eastAsia" w:ascii="华文楷体" w:hAnsi="华文楷体" w:eastAsia="华文楷体" w:cs="华文楷体"/>
          <w:b/>
          <w:bCs/>
          <w:i w:val="0"/>
          <w:caps w:val="0"/>
          <w:color w:val="auto"/>
          <w:spacing w:val="0"/>
          <w:sz w:val="28"/>
          <w:szCs w:val="28"/>
          <w:lang w:val="en-US" w:eastAsia="zh-CN"/>
        </w:rPr>
        <w:t>零城逆影：</w:t>
      </w:r>
      <w:r>
        <w:rPr>
          <w:rFonts w:hint="eastAsia" w:ascii="华文楷体" w:hAnsi="华文楷体" w:eastAsia="华文楷体" w:cs="华文楷体"/>
          <w:i w:val="0"/>
          <w:caps w:val="0"/>
          <w:color w:val="auto"/>
          <w:spacing w:val="0"/>
          <w:sz w:val="28"/>
          <w:szCs w:val="28"/>
          <w:lang w:val="en-US" w:eastAsia="zh-CN"/>
        </w:rPr>
        <w:t>缺口必补、招商策略会魔咒、春节红包行情、壳价值、新股必涨等等。</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lang w:val="en-US" w:eastAsia="zh-CN"/>
        </w:rPr>
      </w:pPr>
      <w:r>
        <w:rPr>
          <w:rFonts w:hint="eastAsia" w:ascii="华文楷体" w:hAnsi="华文楷体" w:eastAsia="华文楷体" w:cs="华文楷体"/>
          <w:i w:val="0"/>
          <w:caps w:val="0"/>
          <w:color w:val="auto"/>
          <w:spacing w:val="0"/>
          <w:sz w:val="28"/>
          <w:szCs w:val="28"/>
          <w:lang w:val="en-US" w:eastAsia="zh-CN"/>
        </w:rPr>
        <w:t>------------------------</w:t>
      </w:r>
    </w:p>
    <w:p>
      <w:pPr>
        <w:pStyle w:val="3"/>
        <w:pageBreakBefore w:val="0"/>
        <w:kinsoku/>
        <w:overflowPunct/>
        <w:topLinePunct w:val="0"/>
        <w:autoSpaceDE/>
        <w:autoSpaceDN/>
        <w:bidi w:val="0"/>
        <w:adjustRightInd/>
        <w:snapToGrid/>
        <w:ind w:firstLine="643" w:firstLineChars="200"/>
        <w:jc w:val="center"/>
        <w:rPr>
          <w:rFonts w:hint="eastAsia"/>
          <w:color w:val="auto"/>
        </w:rPr>
      </w:pPr>
      <w:bookmarkStart w:id="9" w:name="_Toc1654"/>
      <w:r>
        <w:rPr>
          <w:rFonts w:hint="eastAsia"/>
          <w:color w:val="auto"/>
        </w:rPr>
        <w:t>事情的两面</w:t>
      </w:r>
      <w:bookmarkEnd w:id="9"/>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jc w:val="center"/>
        <w:rPr>
          <w:rStyle w:val="11"/>
          <w:rFonts w:hint="eastAsia" w:ascii="华文楷体" w:hAnsi="华文楷体" w:eastAsia="华文楷体" w:cs="华文楷体"/>
          <w:b/>
          <w:i w:val="0"/>
          <w:caps w:val="0"/>
          <w:color w:val="auto"/>
          <w:spacing w:val="0"/>
          <w:sz w:val="28"/>
          <w:szCs w:val="28"/>
          <w:shd w:val="clear" w:fill="FFFFFF"/>
        </w:rPr>
      </w:pPr>
      <w:r>
        <w:rPr>
          <w:rFonts w:hint="eastAsia" w:ascii="华文楷体" w:hAnsi="华文楷体" w:eastAsia="华文楷体" w:cs="华文楷体"/>
          <w:i w:val="0"/>
          <w:caps w:val="0"/>
          <w:color w:val="auto"/>
          <w:spacing w:val="0"/>
          <w:sz w:val="28"/>
          <w:szCs w:val="28"/>
          <w:shd w:val="clear" w:fill="FFFFFF"/>
        </w:rPr>
        <w:t>2016-12-14</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在杰里米·西格尔的《股市长线法宝》这本书中，作者论证了股票的长期复合收益率超过了债券、黄金等其他类别的资产，也就是说股票具备了各类资产中最强的收益特性。巴菲特本人也是股票的拥趸，他的公司伯克希尔·哈撒韦在过去50年实现了19.2%净资产复合增长率，也使巴菲特成为世界顶尖的富豪之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宋体" w:cs="华文楷体"/>
          <w:i w:val="0"/>
          <w:caps w:val="0"/>
          <w:color w:val="auto"/>
          <w:spacing w:val="0"/>
          <w:sz w:val="28"/>
          <w:szCs w:val="28"/>
          <w:lang w:eastAsia="zh-CN"/>
        </w:rPr>
      </w:pPr>
      <w:r>
        <w:rPr>
          <w:rFonts w:hint="eastAsia" w:ascii="华文楷体" w:hAnsi="华文楷体" w:eastAsia="华文楷体" w:cs="华文楷体"/>
          <w:i w:val="0"/>
          <w:caps w:val="0"/>
          <w:color w:val="auto"/>
          <w:spacing w:val="0"/>
          <w:kern w:val="0"/>
          <w:sz w:val="28"/>
          <w:szCs w:val="28"/>
          <w:shd w:val="clear" w:fill="FFFFFF"/>
          <w:lang w:val="en-US" w:eastAsia="zh-CN" w:bidi="ar"/>
        </w:rPr>
        <w:t>19.2%的收益率，为什么在很多人看来平淡无奇呢？如下图，A股从2012年开始就经历了一轮4年的牛市，中位PE从28倍上升到最高61倍，即使目前仍有55倍。因此，过去几年估值的猛烈扩张给人造成了赚钱不难的印象。但如果跨越一个周期来看，根据“72”原则，从09年12月到现在实现10%的复合收益净值即可翻倍，但从公募基金来看，这期间能实现净值翻倍的基金比例很低。再往前推7年，从02年12月到现在实现净值4倍的基金更加寥寥无几。</w:t>
      </w:r>
      <w:r>
        <w:rPr>
          <w:rFonts w:hint="eastAsia" w:ascii="华文楷体" w:hAnsi="华文楷体" w:eastAsia="宋体" w:cs="华文楷体"/>
          <w:i w:val="0"/>
          <w:caps w:val="0"/>
          <w:color w:val="auto"/>
          <w:spacing w:val="0"/>
          <w:sz w:val="28"/>
          <w:szCs w:val="28"/>
          <w:lang w:eastAsia="zh-CN"/>
        </w:rPr>
        <w:drawing>
          <wp:inline distT="0" distB="0" distL="114300" distR="114300">
            <wp:extent cx="5272405" cy="2707005"/>
            <wp:effectExtent l="0" t="0" r="4445" b="17145"/>
            <wp:docPr id="3" name="图片 3" descr="1572407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72407740"/>
                    <pic:cNvPicPr>
                      <a:picLocks noChangeAspect="1"/>
                    </pic:cNvPicPr>
                  </pic:nvPicPr>
                  <pic:blipFill>
                    <a:blip r:embed="rId6"/>
                    <a:stretch>
                      <a:fillRect/>
                    </a:stretch>
                  </pic:blipFill>
                  <pic:spPr>
                    <a:xfrm>
                      <a:off x="0" y="0"/>
                      <a:ext cx="5272405" cy="2707005"/>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为什么会出现这种情形呢？因为收益的另一面——亏损。复利的威力无疑是巨大的，造就了伯克希尔这样的奇迹，但亏损对复利的伤害更大。例如，A连续10年获得16%的收益，B连续10年获得20%的收益，但第10年亏损15%，谁的累计收益更高？伯克希尔无疑是控制亏损的典范，虽然伯克希尔在50年里仅有一个年度收益率超过50%，但50年里伯克希尔仅仅在2个年度亏损，并且最大亏损没有超过净资产的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A股在过去15年的平均ROE为7-8%，股市的表现长期来看不可能超过公司本身的获利表现。并且由于佣金、税收等各种摩擦成本的存在，投资者的回报整体上低于上市公司整体获利的回报。如果在投资中过高出价，隐含的假设是我选中的公司必然实现高增长，而不同的投资者有不同的判断和审美观，但是残酷的事实是整体市场不可能个个公司实现高增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left"/>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kern w:val="0"/>
          <w:sz w:val="28"/>
          <w:szCs w:val="28"/>
          <w:shd w:val="clear" w:fill="FFFFFF"/>
          <w:lang w:val="en-US" w:eastAsia="zh-CN" w:bidi="ar"/>
        </w:rPr>
        <w:t>因此，投资中的安全边际就非常重要。也就是，如果预期的事情没有发生，股票会如何表现？</w:t>
      </w:r>
      <w:r>
        <w:rPr>
          <w:rFonts w:hint="eastAsia" w:ascii="华文楷体" w:hAnsi="华文楷体" w:eastAsia="华文楷体" w:cs="华文楷体"/>
          <w:b/>
          <w:bCs/>
          <w:i w:val="0"/>
          <w:caps w:val="0"/>
          <w:color w:val="auto"/>
          <w:spacing w:val="0"/>
          <w:kern w:val="0"/>
          <w:sz w:val="28"/>
          <w:szCs w:val="28"/>
          <w:shd w:val="clear" w:fill="FFFFFF"/>
          <w:lang w:val="en-US" w:eastAsia="zh-CN" w:bidi="ar"/>
        </w:rPr>
        <w:t>对投资来说，能够在最坏的情形下得到合理的结果，远远重要于在乐观的情形下得到很好的收益。</w:t>
      </w:r>
      <w:r>
        <w:rPr>
          <w:rFonts w:hint="eastAsia" w:ascii="华文楷体" w:hAnsi="华文楷体" w:eastAsia="华文楷体" w:cs="华文楷体"/>
          <w:i w:val="0"/>
          <w:caps w:val="0"/>
          <w:color w:val="auto"/>
          <w:spacing w:val="0"/>
          <w:kern w:val="0"/>
          <w:sz w:val="28"/>
          <w:szCs w:val="28"/>
          <w:shd w:val="clear" w:fill="FFFFFF"/>
          <w:lang w:val="en-US" w:eastAsia="zh-CN" w:bidi="ar"/>
        </w:rPr>
        <w:t>如上图，在经历了连续的估值扩张后，A股在历史上也是比较贵的阶段，此时更加需要以审慎的态度对待投资。</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rPr>
          <w:rStyle w:val="11"/>
          <w:rFonts w:hint="eastAsia" w:ascii="华文楷体" w:hAnsi="华文楷体" w:eastAsia="华文楷体" w:cs="华文楷体"/>
          <w:b/>
          <w:i w:val="0"/>
          <w:caps w:val="0"/>
          <w:color w:val="auto"/>
          <w:spacing w:val="0"/>
          <w:sz w:val="28"/>
          <w:szCs w:val="28"/>
          <w:shd w:val="clear" w:fill="FFFFFF"/>
          <w:lang w:val="en-US" w:eastAsia="zh-CN"/>
        </w:rPr>
      </w:pP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lang w:val="en-US" w:eastAsia="zh-CN"/>
        </w:rPr>
      </w:pPr>
      <w:r>
        <w:rPr>
          <w:rFonts w:hint="eastAsia" w:ascii="华文楷体" w:hAnsi="华文楷体" w:eastAsia="华文楷体" w:cs="华文楷体"/>
          <w:i w:val="0"/>
          <w:caps w:val="0"/>
          <w:color w:val="auto"/>
          <w:spacing w:val="0"/>
          <w:sz w:val="28"/>
          <w:szCs w:val="28"/>
          <w:shd w:val="clear" w:fill="FFFFFF"/>
          <w:lang w:val="en-US" w:eastAsia="zh-CN"/>
        </w:rPr>
        <w:t>---------</w:t>
      </w:r>
    </w:p>
    <w:p>
      <w:pPr>
        <w:pStyle w:val="3"/>
        <w:pageBreakBefore w:val="0"/>
        <w:kinsoku/>
        <w:overflowPunct/>
        <w:topLinePunct w:val="0"/>
        <w:autoSpaceDE/>
        <w:autoSpaceDN/>
        <w:bidi w:val="0"/>
        <w:adjustRightInd/>
        <w:snapToGrid/>
        <w:ind w:firstLine="643" w:firstLineChars="200"/>
        <w:jc w:val="center"/>
        <w:rPr>
          <w:rFonts w:hint="eastAsia"/>
        </w:rPr>
      </w:pPr>
      <w:bookmarkStart w:id="10" w:name="_Toc31828"/>
      <w:r>
        <w:rPr>
          <w:rFonts w:hint="eastAsia"/>
        </w:rPr>
        <w:t>医药股板块投资性价比相对更高</w:t>
      </w:r>
      <w:bookmarkEnd w:id="10"/>
    </w:p>
    <w:p>
      <w:pPr>
        <w:pageBreakBefore w:val="0"/>
        <w:kinsoku/>
        <w:overflowPunct/>
        <w:topLinePunct w:val="0"/>
        <w:autoSpaceDE/>
        <w:autoSpaceDN/>
        <w:bidi w:val="0"/>
        <w:adjustRightInd/>
        <w:snapToGrid/>
        <w:ind w:firstLine="560" w:firstLineChars="200"/>
        <w:jc w:val="center"/>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rPr>
        <w:t>2017-08-12 07:06</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苛刻遴选个股“发现一家伟大的公司,然后陪它一起伟大下去。”张坤坦言,其投资风格绝对是自下而上的,选股上有苛刻的要求。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张坤的苛刻体现在他的投资理念上:</w:t>
      </w:r>
      <w:r>
        <w:rPr>
          <w:rFonts w:hint="eastAsia" w:ascii="华文楷体" w:hAnsi="华文楷体" w:eastAsia="华文楷体" w:cs="华文楷体"/>
          <w:b/>
          <w:bCs/>
          <w:i w:val="0"/>
          <w:caps w:val="0"/>
          <w:color w:val="auto"/>
          <w:spacing w:val="0"/>
          <w:kern w:val="2"/>
          <w:sz w:val="28"/>
          <w:szCs w:val="28"/>
          <w:shd w:val="clear" w:fill="FFFFFF"/>
          <w:lang w:val="en-US" w:eastAsia="zh-CN" w:bidi="ar-SA"/>
        </w:rPr>
        <w:t>“投资就是要不忘初心,要知道出发点在哪里。不想持有10年以上的标的,就不要持有1分钟。”</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在当前A股3200多只个股中,符合他择股要求的也就不到10%左右,约两三百只。</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b/>
          <w:bCs/>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张坤说,魔鬼都藏在细节中。</w:t>
      </w:r>
      <w:r>
        <w:rPr>
          <w:rFonts w:hint="eastAsia" w:ascii="华文楷体" w:hAnsi="华文楷体" w:eastAsia="华文楷体" w:cs="华文楷体"/>
          <w:b/>
          <w:bCs/>
          <w:i w:val="0"/>
          <w:caps w:val="0"/>
          <w:color w:val="auto"/>
          <w:spacing w:val="0"/>
          <w:kern w:val="2"/>
          <w:sz w:val="28"/>
          <w:szCs w:val="28"/>
          <w:shd w:val="clear" w:fill="FFFFFF"/>
          <w:lang w:val="en-US" w:eastAsia="zh-CN" w:bidi="ar-SA"/>
        </w:rPr>
        <w:t>“我是一个保守的人,严格地践行"不要亏钱"的原则,不喜欢买了一个股票就跌很多。对风险的排除,我会亲手去做。”</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对于如何筛选标的,张坤第一步看的是财务指标。“企业首先要能赚钱,这是一个通行的要求。”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张坤说:“在过去一个比较长的时间内,比如过去5至7年,企业平均ROE、ROIC要在10%以上。A股中这样的公司大概只有600来家,占比约20%。”若从动态来看,高盈利回报是否能持续,这样的筛选,会更消耗精力。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第二步,再剔除掉高杠杆的公司。张坤说,他不喜欢商业模式上有大量负债的、重资产的类公司,他偏好于依靠自身诚实经营积累起来的、</w:t>
      </w:r>
      <w:r>
        <w:rPr>
          <w:rFonts w:hint="eastAsia" w:ascii="华文楷体" w:hAnsi="华文楷体" w:eastAsia="华文楷体" w:cs="华文楷体"/>
          <w:b/>
          <w:bCs/>
          <w:i w:val="0"/>
          <w:caps w:val="0"/>
          <w:color w:val="auto"/>
          <w:spacing w:val="0"/>
          <w:kern w:val="2"/>
          <w:sz w:val="28"/>
          <w:szCs w:val="28"/>
          <w:shd w:val="clear" w:fill="FFFFFF"/>
          <w:lang w:val="en-US" w:eastAsia="zh-CN" w:bidi="ar-SA"/>
        </w:rPr>
        <w:t>内生性成长的公司。</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第三步,排除掉行业中市场地位比较低的、议价能力不强的、营运资金很大的企业。如此一来,A股市场上的此类标的就仅剩下两三百家。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在张坤看来,</w:t>
      </w:r>
      <w:r>
        <w:rPr>
          <w:rFonts w:hint="eastAsia" w:ascii="华文楷体" w:hAnsi="华文楷体" w:eastAsia="华文楷体" w:cs="华文楷体"/>
          <w:b/>
          <w:bCs/>
          <w:i w:val="0"/>
          <w:caps w:val="0"/>
          <w:color w:val="auto"/>
          <w:spacing w:val="0"/>
          <w:kern w:val="2"/>
          <w:sz w:val="28"/>
          <w:szCs w:val="28"/>
          <w:shd w:val="clear" w:fill="FFFFFF"/>
          <w:lang w:val="en-US" w:eastAsia="zh-CN" w:bidi="ar-SA"/>
        </w:rPr>
        <w:t>目前中国大约有200家优秀的上市公司,其中约有100家在沪深交易所上市,约50家在港交所上市,还有30至40家在美国市场上市。</w:t>
      </w:r>
      <w:r>
        <w:rPr>
          <w:rFonts w:hint="eastAsia" w:ascii="华文楷体" w:hAnsi="华文楷体" w:eastAsia="华文楷体" w:cs="华文楷体"/>
          <w:i w:val="0"/>
          <w:caps w:val="0"/>
          <w:color w:val="auto"/>
          <w:spacing w:val="0"/>
          <w:kern w:val="2"/>
          <w:sz w:val="28"/>
          <w:szCs w:val="28"/>
          <w:shd w:val="clear" w:fill="FFFFFF"/>
          <w:lang w:val="en-US" w:eastAsia="zh-CN" w:bidi="ar-SA"/>
        </w:rPr>
        <w:t>“这些公司将会成为非常稀缺的标的,随着资本流动越来越畅通,这些标的未来注定会成为投资者抢购的对象。” 张坤说。</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看好四大板块</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张坤坦言,自己偏好于投资两类行业:一是变化最快的行业,另一是变化最慢的行业。对于前者,如互联网行业,只要在技术上稍微强一些,就能迅速碾压对手,抢占到对手的市场份额,形成垄断优势,成为赢家;对于后者,如白酒类企业,品牌壁垒突出,一招鲜吃遍天,新竞争者很难挤占到市场中来,或者最起码要消耗大量的时间成本、沉没成本。</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而最危险的当属于渐进变化的行业,一般来说5年或者10年市场格局就会发生巨大变化,它们提供的是同质化产品或服务,主要依靠价格优势取胜。这类企业很可能在某个关键时点被淘汰。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在张坤看来,有四类公司的投资前景值得关注,未来能取得比较好的投资回报。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1" w:firstLineChars="200"/>
        <w:jc w:val="left"/>
        <w:rPr>
          <w:rFonts w:hint="eastAsia" w:ascii="华文楷体" w:hAnsi="华文楷体" w:eastAsia="华文楷体" w:cs="华文楷体"/>
          <w:b/>
          <w:bCs/>
          <w:i w:val="0"/>
          <w:caps w:val="0"/>
          <w:color w:val="auto"/>
          <w:spacing w:val="0"/>
          <w:kern w:val="2"/>
          <w:sz w:val="28"/>
          <w:szCs w:val="28"/>
          <w:shd w:val="clear" w:fill="FFFFFF"/>
          <w:lang w:val="en-US" w:eastAsia="zh-CN" w:bidi="ar-SA"/>
        </w:rPr>
      </w:pPr>
      <w:r>
        <w:rPr>
          <w:rFonts w:hint="eastAsia" w:ascii="华文楷体" w:hAnsi="华文楷体" w:eastAsia="华文楷体" w:cs="华文楷体"/>
          <w:b/>
          <w:bCs/>
          <w:i w:val="0"/>
          <w:caps w:val="0"/>
          <w:color w:val="auto"/>
          <w:spacing w:val="0"/>
          <w:kern w:val="2"/>
          <w:sz w:val="28"/>
          <w:szCs w:val="28"/>
          <w:shd w:val="clear" w:fill="FFFFFF"/>
          <w:lang w:val="en-US" w:eastAsia="zh-CN" w:bidi="ar-SA"/>
        </w:rPr>
        <w:t>第一是科技类、互联网类企业;第二是消费类公司;第三是医药类板块;第四是形成寡头格局行业的高端制造业企业。</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“第一类应该是投资标的中最好的,但在A股中很少。A股中多偏重于后三类公司。”张坤说。</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32" w:beforeAutospacing="0" w:after="378" w:afterAutospacing="0" w:line="315" w:lineRule="atLeast"/>
        <w:ind w:left="0" w:right="0" w:firstLine="560" w:firstLineChars="200"/>
        <w:jc w:val="left"/>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除了配置上市类型的公司之外,在标的池中,张坤还会搭配一些可以提供长期稳定回报的机场类公共事业类公司,构成投资组合。</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b/>
          <w:bCs/>
          <w:i w:val="0"/>
          <w:caps w:val="0"/>
          <w:color w:val="auto"/>
          <w:spacing w:val="0"/>
          <w:kern w:val="2"/>
          <w:sz w:val="28"/>
          <w:szCs w:val="28"/>
          <w:shd w:val="clear" w:fill="FFFFFF"/>
          <w:lang w:val="en-US" w:eastAsia="zh-CN" w:bidi="ar-SA"/>
        </w:rPr>
        <w:t>零城逆影：</w:t>
      </w:r>
      <w:r>
        <w:rPr>
          <w:rFonts w:hint="eastAsia" w:ascii="华文楷体" w:hAnsi="华文楷体" w:eastAsia="华文楷体" w:cs="华文楷体"/>
          <w:i w:val="0"/>
          <w:caps w:val="0"/>
          <w:color w:val="auto"/>
          <w:spacing w:val="0"/>
          <w:kern w:val="2"/>
          <w:sz w:val="28"/>
          <w:szCs w:val="28"/>
          <w:shd w:val="clear" w:fill="FFFFFF"/>
          <w:lang w:val="en-US" w:eastAsia="zh-CN" w:bidi="ar-SA"/>
        </w:rPr>
        <w:t>ROIC这个指标大家可能会比较陌生，ROIC 是生产经营活动中所有投入资本（包含债务）赚取的收益率。</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2"/>
          <w:sz w:val="28"/>
          <w:szCs w:val="28"/>
          <w:shd w:val="clear" w:fill="FFFFFF"/>
          <w:lang w:val="en-US" w:eastAsia="zh-CN" w:bidi="ar-SA"/>
        </w:rPr>
      </w:pPr>
      <w:r>
        <w:rPr>
          <w:rFonts w:hint="default" w:ascii="华文楷体" w:hAnsi="华文楷体" w:eastAsia="华文楷体" w:cs="华文楷体"/>
          <w:i w:val="0"/>
          <w:caps w:val="0"/>
          <w:color w:val="auto"/>
          <w:spacing w:val="0"/>
          <w:kern w:val="2"/>
          <w:sz w:val="28"/>
          <w:szCs w:val="28"/>
          <w:shd w:val="clear" w:fill="FFFFFF"/>
          <w:lang w:val="en-US" w:eastAsia="zh-CN" w:bidi="ar-SA"/>
        </w:rPr>
        <w:t>ROIC=</w:t>
      </w:r>
      <w:r>
        <w:rPr>
          <w:rFonts w:hint="default" w:ascii="华文楷体" w:hAnsi="华文楷体" w:eastAsia="华文楷体" w:cs="华文楷体"/>
          <w:i w:val="0"/>
          <w:caps w:val="0"/>
          <w:color w:val="auto"/>
          <w:spacing w:val="0"/>
          <w:kern w:val="2"/>
          <w:sz w:val="28"/>
          <w:szCs w:val="28"/>
          <w:shd w:val="clear" w:fill="FFFFFF"/>
          <w:lang w:val="en-US" w:eastAsia="zh-CN" w:bidi="ar-SA"/>
        </w:rPr>
        <w:fldChar w:fldCharType="begin"/>
      </w:r>
      <w:r>
        <w:rPr>
          <w:rFonts w:hint="default" w:ascii="华文楷体" w:hAnsi="华文楷体" w:eastAsia="华文楷体" w:cs="华文楷体"/>
          <w:i w:val="0"/>
          <w:caps w:val="0"/>
          <w:color w:val="auto"/>
          <w:spacing w:val="0"/>
          <w:kern w:val="2"/>
          <w:sz w:val="28"/>
          <w:szCs w:val="28"/>
          <w:shd w:val="clear" w:fill="FFFFFF"/>
          <w:lang w:val="en-US" w:eastAsia="zh-CN" w:bidi="ar-SA"/>
        </w:rPr>
        <w:instrText xml:space="preserve"> HYPERLINK "https://baike.baidu.com/item/NOPLAT" \t "https://baike.baidu.com/item/%E6%8A%95%E5%85%A5%E8%B5%84%E6%9C%AC%E5%9B%9E%E6%8A%A5%E7%8E%87/_blank" </w:instrText>
      </w:r>
      <w:r>
        <w:rPr>
          <w:rFonts w:hint="default" w:ascii="华文楷体" w:hAnsi="华文楷体" w:eastAsia="华文楷体" w:cs="华文楷体"/>
          <w:i w:val="0"/>
          <w:caps w:val="0"/>
          <w:color w:val="auto"/>
          <w:spacing w:val="0"/>
          <w:kern w:val="2"/>
          <w:sz w:val="28"/>
          <w:szCs w:val="28"/>
          <w:shd w:val="clear" w:fill="FFFFFF"/>
          <w:lang w:val="en-US" w:eastAsia="zh-CN" w:bidi="ar-SA"/>
        </w:rPr>
        <w:fldChar w:fldCharType="separate"/>
      </w:r>
      <w:r>
        <w:rPr>
          <w:rFonts w:hint="default" w:ascii="华文楷体" w:hAnsi="华文楷体" w:eastAsia="华文楷体" w:cs="华文楷体"/>
          <w:i w:val="0"/>
          <w:caps w:val="0"/>
          <w:color w:val="auto"/>
          <w:spacing w:val="0"/>
          <w:kern w:val="2"/>
          <w:sz w:val="28"/>
          <w:szCs w:val="28"/>
          <w:shd w:val="clear" w:fill="FFFFFF"/>
          <w:lang w:val="en-US" w:eastAsia="zh-CN" w:bidi="ar-SA"/>
        </w:rPr>
        <w:t>NOPLAT</w:t>
      </w:r>
      <w:r>
        <w:rPr>
          <w:rFonts w:hint="default" w:ascii="华文楷体" w:hAnsi="华文楷体" w:eastAsia="华文楷体" w:cs="华文楷体"/>
          <w:i w:val="0"/>
          <w:caps w:val="0"/>
          <w:color w:val="auto"/>
          <w:spacing w:val="0"/>
          <w:kern w:val="2"/>
          <w:sz w:val="28"/>
          <w:szCs w:val="28"/>
          <w:shd w:val="clear" w:fill="FFFFFF"/>
          <w:lang w:val="en-US" w:eastAsia="zh-CN" w:bidi="ar-SA"/>
        </w:rPr>
        <w:fldChar w:fldCharType="end"/>
      </w:r>
      <w:r>
        <w:rPr>
          <w:rFonts w:hint="default" w:ascii="华文楷体" w:hAnsi="华文楷体" w:eastAsia="华文楷体" w:cs="华文楷体"/>
          <w:i w:val="0"/>
          <w:caps w:val="0"/>
          <w:color w:val="auto"/>
          <w:spacing w:val="0"/>
          <w:kern w:val="2"/>
          <w:sz w:val="28"/>
          <w:szCs w:val="28"/>
          <w:shd w:val="clear" w:fill="FFFFFF"/>
          <w:lang w:val="en-US" w:eastAsia="zh-CN" w:bidi="ar-SA"/>
        </w:rPr>
        <w:t>(息前税后经营利润)÷IC(投入资本)</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default" w:ascii="华文楷体" w:hAnsi="华文楷体" w:eastAsia="华文楷体" w:cs="华文楷体"/>
          <w:i w:val="0"/>
          <w:caps w:val="0"/>
          <w:color w:val="auto"/>
          <w:spacing w:val="0"/>
          <w:kern w:val="2"/>
          <w:sz w:val="28"/>
          <w:szCs w:val="28"/>
          <w:shd w:val="clear" w:fill="FFFFFF"/>
          <w:lang w:val="en-US" w:eastAsia="zh-CN" w:bidi="ar-SA"/>
        </w:rPr>
      </w:pPr>
      <w:r>
        <w:rPr>
          <w:rFonts w:hint="default" w:ascii="华文楷体" w:hAnsi="华文楷体" w:eastAsia="华文楷体" w:cs="华文楷体"/>
          <w:i w:val="0"/>
          <w:caps w:val="0"/>
          <w:color w:val="auto"/>
          <w:spacing w:val="0"/>
          <w:kern w:val="2"/>
          <w:sz w:val="28"/>
          <w:szCs w:val="28"/>
          <w:shd w:val="clear" w:fill="FFFFFF"/>
          <w:lang w:val="en-US" w:eastAsia="zh-CN" w:bidi="ar-SA"/>
        </w:rPr>
        <w:t>NOPLAT=EBIT×(1－T)=(营业利润+财务费用－非经常性投资损益) ×(1－所得税率)</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default" w:ascii="华文楷体" w:hAnsi="华文楷体" w:eastAsia="华文楷体" w:cs="华文楷体"/>
          <w:i w:val="0"/>
          <w:caps w:val="0"/>
          <w:color w:val="auto"/>
          <w:spacing w:val="0"/>
          <w:kern w:val="2"/>
          <w:sz w:val="28"/>
          <w:szCs w:val="28"/>
          <w:shd w:val="clear" w:fill="FFFFFF"/>
          <w:lang w:val="en-US" w:eastAsia="zh-CN" w:bidi="ar-SA"/>
        </w:rPr>
      </w:pPr>
      <w:r>
        <w:rPr>
          <w:rFonts w:hint="default" w:ascii="华文楷体" w:hAnsi="华文楷体" w:eastAsia="华文楷体" w:cs="华文楷体"/>
          <w:i w:val="0"/>
          <w:caps w:val="0"/>
          <w:color w:val="auto"/>
          <w:spacing w:val="0"/>
          <w:kern w:val="2"/>
          <w:sz w:val="28"/>
          <w:szCs w:val="28"/>
          <w:shd w:val="clear" w:fill="FFFFFF"/>
          <w:lang w:val="en-US" w:eastAsia="zh-CN" w:bidi="ar-SA"/>
        </w:rPr>
        <w:t>IC=有息负债+</w:t>
      </w:r>
      <w:r>
        <w:rPr>
          <w:rFonts w:hint="default" w:ascii="华文楷体" w:hAnsi="华文楷体" w:eastAsia="华文楷体" w:cs="华文楷体"/>
          <w:i w:val="0"/>
          <w:caps w:val="0"/>
          <w:color w:val="auto"/>
          <w:spacing w:val="0"/>
          <w:kern w:val="2"/>
          <w:sz w:val="28"/>
          <w:szCs w:val="28"/>
          <w:shd w:val="clear" w:fill="FFFFFF"/>
          <w:lang w:val="en-US" w:eastAsia="zh-CN" w:bidi="ar-SA"/>
        </w:rPr>
        <w:fldChar w:fldCharType="begin"/>
      </w:r>
      <w:r>
        <w:rPr>
          <w:rFonts w:hint="default" w:ascii="华文楷体" w:hAnsi="华文楷体" w:eastAsia="华文楷体" w:cs="华文楷体"/>
          <w:i w:val="0"/>
          <w:caps w:val="0"/>
          <w:color w:val="auto"/>
          <w:spacing w:val="0"/>
          <w:kern w:val="2"/>
          <w:sz w:val="28"/>
          <w:szCs w:val="28"/>
          <w:shd w:val="clear" w:fill="FFFFFF"/>
          <w:lang w:val="en-US" w:eastAsia="zh-CN" w:bidi="ar-SA"/>
        </w:rPr>
        <w:instrText xml:space="preserve"> HYPERLINK "https://baike.baidu.com/item/%E5%87%80%E8%B5%84%E4%BA%A7" \t "https://baike.baidu.com/item/%E6%8A%95%E5%85%A5%E8%B5%84%E6%9C%AC%E5%9B%9E%E6%8A%A5%E7%8E%87/_blank" </w:instrText>
      </w:r>
      <w:r>
        <w:rPr>
          <w:rFonts w:hint="default" w:ascii="华文楷体" w:hAnsi="华文楷体" w:eastAsia="华文楷体" w:cs="华文楷体"/>
          <w:i w:val="0"/>
          <w:caps w:val="0"/>
          <w:color w:val="auto"/>
          <w:spacing w:val="0"/>
          <w:kern w:val="2"/>
          <w:sz w:val="28"/>
          <w:szCs w:val="28"/>
          <w:shd w:val="clear" w:fill="FFFFFF"/>
          <w:lang w:val="en-US" w:eastAsia="zh-CN" w:bidi="ar-SA"/>
        </w:rPr>
        <w:fldChar w:fldCharType="separate"/>
      </w:r>
      <w:r>
        <w:rPr>
          <w:rFonts w:hint="default" w:ascii="华文楷体" w:hAnsi="华文楷体" w:eastAsia="华文楷体" w:cs="华文楷体"/>
          <w:i w:val="0"/>
          <w:caps w:val="0"/>
          <w:color w:val="auto"/>
          <w:spacing w:val="0"/>
          <w:kern w:val="2"/>
          <w:sz w:val="28"/>
          <w:szCs w:val="28"/>
          <w:shd w:val="clear" w:fill="FFFFFF"/>
          <w:lang w:val="en-US" w:eastAsia="zh-CN" w:bidi="ar-SA"/>
        </w:rPr>
        <w:t>净资产</w:t>
      </w:r>
      <w:r>
        <w:rPr>
          <w:rFonts w:hint="default" w:ascii="华文楷体" w:hAnsi="华文楷体" w:eastAsia="华文楷体" w:cs="华文楷体"/>
          <w:i w:val="0"/>
          <w:caps w:val="0"/>
          <w:color w:val="auto"/>
          <w:spacing w:val="0"/>
          <w:kern w:val="2"/>
          <w:sz w:val="28"/>
          <w:szCs w:val="28"/>
          <w:shd w:val="clear" w:fill="FFFFFF"/>
          <w:lang w:val="en-US" w:eastAsia="zh-CN" w:bidi="ar-SA"/>
        </w:rPr>
        <w:fldChar w:fldCharType="end"/>
      </w:r>
      <w:r>
        <w:rPr>
          <w:rFonts w:hint="default" w:ascii="华文楷体" w:hAnsi="华文楷体" w:eastAsia="华文楷体" w:cs="华文楷体"/>
          <w:i w:val="0"/>
          <w:caps w:val="0"/>
          <w:color w:val="auto"/>
          <w:spacing w:val="0"/>
          <w:kern w:val="2"/>
          <w:sz w:val="28"/>
          <w:szCs w:val="28"/>
          <w:shd w:val="clear" w:fill="FFFFFF"/>
          <w:lang w:val="en-US" w:eastAsia="zh-CN" w:bidi="ar-SA"/>
        </w:rPr>
        <w:t>－现金－非经营性资产</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default" w:ascii="华文楷体" w:hAnsi="华文楷体" w:eastAsia="华文楷体" w:cs="华文楷体"/>
          <w:i w:val="0"/>
          <w:caps w:val="0"/>
          <w:color w:val="auto"/>
          <w:spacing w:val="0"/>
          <w:kern w:val="2"/>
          <w:sz w:val="28"/>
          <w:szCs w:val="28"/>
          <w:shd w:val="clear" w:fill="FFFFFF"/>
          <w:lang w:val="en-US" w:eastAsia="zh-CN" w:bidi="ar-SA"/>
        </w:rPr>
      </w:pP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default" w:ascii="华文楷体" w:hAnsi="华文楷体" w:eastAsia="华文楷体" w:cs="华文楷体"/>
          <w:i w:val="0"/>
          <w:caps w:val="0"/>
          <w:color w:val="auto"/>
          <w:spacing w:val="0"/>
          <w:kern w:val="2"/>
          <w:sz w:val="28"/>
          <w:szCs w:val="28"/>
          <w:shd w:val="clear" w:fill="FFFFFF"/>
          <w:lang w:val="en-US" w:eastAsia="zh-CN" w:bidi="ar-SA"/>
        </w:rPr>
      </w:pPr>
      <w:r>
        <w:rPr>
          <w:rFonts w:hint="eastAsia" w:ascii="华文楷体" w:hAnsi="华文楷体" w:eastAsia="华文楷体" w:cs="华文楷体"/>
          <w:i w:val="0"/>
          <w:caps w:val="0"/>
          <w:color w:val="auto"/>
          <w:spacing w:val="0"/>
          <w:kern w:val="2"/>
          <w:sz w:val="28"/>
          <w:szCs w:val="28"/>
          <w:shd w:val="clear" w:fill="FFFFFF"/>
          <w:lang w:val="en-US" w:eastAsia="zh-CN" w:bidi="ar-SA"/>
        </w:rPr>
        <w:t>ROIC高的公司，内生性成长很强，不需要太多的负债就能成长。比如茅台，基本上没有什么有息负债，上市后也没再融资过。</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2"/>
          <w:sz w:val="28"/>
          <w:szCs w:val="28"/>
          <w:shd w:val="clear" w:fill="FFFFFF"/>
          <w:lang w:val="en-US" w:eastAsia="zh-CN" w:bidi="ar-SA"/>
        </w:rPr>
      </w:pP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lang w:val="en-US" w:eastAsia="zh-CN"/>
        </w:rPr>
      </w:pPr>
      <w:r>
        <w:rPr>
          <w:rFonts w:hint="eastAsia" w:ascii="华文楷体" w:hAnsi="华文楷体" w:eastAsia="华文楷体" w:cs="华文楷体"/>
          <w:i w:val="0"/>
          <w:caps w:val="0"/>
          <w:color w:val="auto"/>
          <w:spacing w:val="0"/>
          <w:sz w:val="28"/>
          <w:szCs w:val="28"/>
          <w:shd w:val="clear" w:fill="FFFFFF"/>
          <w:lang w:val="en-US" w:eastAsia="zh-CN"/>
        </w:rPr>
        <w:t>-----------------</w:t>
      </w:r>
    </w:p>
    <w:p>
      <w:pPr>
        <w:pStyle w:val="3"/>
        <w:pageBreakBefore w:val="0"/>
        <w:kinsoku/>
        <w:overflowPunct/>
        <w:topLinePunct w:val="0"/>
        <w:autoSpaceDE/>
        <w:autoSpaceDN/>
        <w:bidi w:val="0"/>
        <w:adjustRightInd/>
        <w:snapToGrid/>
        <w:ind w:firstLine="643" w:firstLineChars="200"/>
        <w:jc w:val="center"/>
        <w:rPr>
          <w:rFonts w:hint="eastAsia"/>
          <w:lang w:val="en-US" w:eastAsia="zh-CN"/>
        </w:rPr>
      </w:pPr>
      <w:bookmarkStart w:id="11" w:name="_Toc23117"/>
      <w:r>
        <w:rPr>
          <w:rFonts w:hint="eastAsia"/>
          <w:lang w:val="en-US" w:eastAsia="zh-CN"/>
        </w:rPr>
        <w:t>从几个指数表现差异的随想</w:t>
      </w:r>
      <w:bookmarkEnd w:id="11"/>
    </w:p>
    <w:p>
      <w:pPr>
        <w:pageBreakBefore w:val="0"/>
        <w:kinsoku/>
        <w:overflowPunct/>
        <w:topLinePunct w:val="0"/>
        <w:autoSpaceDE/>
        <w:autoSpaceDN/>
        <w:bidi w:val="0"/>
        <w:adjustRightInd/>
        <w:snapToGrid/>
        <w:ind w:firstLine="560" w:firstLineChars="200"/>
        <w:jc w:val="center"/>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2018.6.25</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导言: 以互联网为代表的新兴行业在不到 10 年时间内形成了一批巨头公司，积累大量自由现金流的优秀商业模式+寡头的竞争格局+业务边界的持续扩张，使投资具备了高增长+高确定这两个罕见同时出现的属性。中国的上市公司是散落在 A 股、香港、美国三地的资本市场中，这就需要投资者开拓视野，在三地的资本市场中， 投资并分享最优秀中国上市公司的成长。</w:t>
      </w:r>
    </w:p>
    <w:p>
      <w:pPr>
        <w:keepNext w:val="0"/>
        <w:keepLines w:val="0"/>
        <w:pageBreakBefore w:val="0"/>
        <w:widowControl/>
        <w:suppressLineNumbers w:val="0"/>
        <w:kinsoku/>
        <w:overflowPunct/>
        <w:topLinePunct w:val="0"/>
        <w:autoSpaceDE/>
        <w:autoSpaceDN/>
        <w:bidi w:val="0"/>
        <w:adjustRightInd/>
        <w:snapToGrid/>
        <w:ind w:firstLine="560" w:firstLineChars="200"/>
        <w:jc w:val="left"/>
        <w:rPr>
          <w:rFonts w:hint="eastAsia" w:ascii="华文楷体" w:hAnsi="华文楷体" w:eastAsia="华文楷体" w:cs="华文楷体"/>
          <w:i w:val="0"/>
          <w:caps w:val="0"/>
          <w:color w:val="auto"/>
          <w:spacing w:val="0"/>
          <w:kern w:val="0"/>
          <w:sz w:val="28"/>
          <w:szCs w:val="28"/>
          <w:shd w:val="clear" w:fill="FFFFFF"/>
          <w:lang w:val="en-US" w:eastAsia="zh-CN" w:bidi="ar"/>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回顾 2017 年，在全球股票市场普遍牛市的背景下，代表中国上市公司的不同指数却表现出了巨大的差异，如下表所示：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drawing>
          <wp:inline distT="0" distB="0" distL="114300" distR="114300">
            <wp:extent cx="4752340" cy="2428875"/>
            <wp:effectExtent l="0" t="0" r="1016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752340" cy="2428875"/>
                    </a:xfrm>
                    <a:prstGeom prst="rect">
                      <a:avLst/>
                    </a:prstGeom>
                    <a:noFill/>
                    <a:ln w="9525">
                      <a:noFill/>
                    </a:ln>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其中，代表海外上市中国大公司的 MSCI CHINA 指数表现最好，人民币口径上涨43.5%，代表国内上市的中国大公司的沪深 300 指数表现次之，上涨 21.8%，代表国内上市新兴产业公司的创业板指数却下跌了10.7%。</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为何各指数表现会有如此大的差异？下表列示了指数的前十大重仓股票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480" w:firstLineChars="200"/>
      </w:pPr>
      <w:r>
        <w:drawing>
          <wp:inline distT="0" distB="0" distL="114300" distR="114300">
            <wp:extent cx="5266055" cy="2526030"/>
            <wp:effectExtent l="0" t="0" r="10795"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66055" cy="2526030"/>
                    </a:xfrm>
                    <a:prstGeom prst="rect">
                      <a:avLst/>
                    </a:prstGeom>
                    <a:noFill/>
                    <a:ln w="9525">
                      <a:noFill/>
                    </a:ln>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MSCI CHINA 指数的前十大重仓中包括了 5 家新兴产业的巨头，腾讯、阿里巴巴、百度、京东、网易，合计占了指数 38.2%的权重，这 5 家公司贡献了显著的指数涨幅。无独有偶，在美国市场中 FAAMG 五巨头也贡献了相当大的指数涨幅。</w:t>
      </w:r>
    </w:p>
    <w:p>
      <w:pPr>
        <w:keepNext w:val="0"/>
        <w:keepLines w:val="0"/>
        <w:pageBreakBefore w:val="0"/>
        <w:widowControl/>
        <w:suppressLineNumbers w:val="0"/>
        <w:kinsoku/>
        <w:overflowPunct/>
        <w:topLinePunct w:val="0"/>
        <w:autoSpaceDE/>
        <w:autoSpaceDN/>
        <w:bidi w:val="0"/>
        <w:adjustRightInd/>
        <w:snapToGrid/>
        <w:ind w:firstLine="560" w:firstLineChars="200"/>
        <w:jc w:val="left"/>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b/>
          <w:bCs/>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巴菲特在 2017 年伯克希尔的股东大会上，谈到科技巨头时指出，</w:t>
      </w:r>
      <w:r>
        <w:rPr>
          <w:rFonts w:hint="eastAsia" w:ascii="华文楷体" w:hAnsi="华文楷体" w:eastAsia="华文楷体" w:cs="华文楷体"/>
          <w:b/>
          <w:bCs/>
          <w:i w:val="0"/>
          <w:caps w:val="0"/>
          <w:color w:val="auto"/>
          <w:spacing w:val="0"/>
          <w:kern w:val="0"/>
          <w:sz w:val="28"/>
          <w:szCs w:val="28"/>
          <w:shd w:val="clear" w:fill="FFFFFF"/>
          <w:lang w:val="en-US" w:eastAsia="zh-CN" w:bidi="ar"/>
        </w:rPr>
        <w:t>这些公司的增长几乎不需要固定资产，也几乎不需要运营资金，这是很神奇的商业模式。</w:t>
      </w:r>
      <w:r>
        <w:rPr>
          <w:rFonts w:hint="eastAsia" w:ascii="华文楷体" w:hAnsi="华文楷体" w:eastAsia="华文楷体" w:cs="华文楷体"/>
          <w:i w:val="0"/>
          <w:caps w:val="0"/>
          <w:color w:val="auto"/>
          <w:spacing w:val="0"/>
          <w:kern w:val="0"/>
          <w:sz w:val="28"/>
          <w:szCs w:val="28"/>
          <w:shd w:val="clear" w:fill="FFFFFF"/>
          <w:lang w:val="en-US" w:eastAsia="zh-CN" w:bidi="ar"/>
        </w:rPr>
        <w:t>不得不感叹股神对商业模式理解的一针见血。的确，科技巨头最重要的资产是无形资产，例如数据和网络效应等。</w:t>
      </w:r>
      <w:r>
        <w:rPr>
          <w:rFonts w:hint="eastAsia" w:ascii="华文楷体" w:hAnsi="华文楷体" w:eastAsia="华文楷体" w:cs="华文楷体"/>
          <w:b/>
          <w:bCs/>
          <w:i w:val="0"/>
          <w:caps w:val="0"/>
          <w:color w:val="auto"/>
          <w:spacing w:val="0"/>
          <w:kern w:val="0"/>
          <w:sz w:val="28"/>
          <w:szCs w:val="28"/>
          <w:shd w:val="clear" w:fill="FFFFFF"/>
          <w:lang w:val="en-US" w:eastAsia="zh-CN" w:bidi="ar"/>
        </w:rPr>
        <w:t>相比有形资产，无形资产构筑的壁垒更容易形成马太效应，一方面让对手难以进攻，另一方面积累了巨大的自由现金流。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1"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b/>
          <w:bCs/>
          <w:i w:val="0"/>
          <w:caps w:val="0"/>
          <w:color w:val="auto"/>
          <w:spacing w:val="0"/>
          <w:kern w:val="0"/>
          <w:sz w:val="28"/>
          <w:szCs w:val="28"/>
          <w:shd w:val="clear" w:fill="FFFFFF"/>
          <w:lang w:val="en-US" w:eastAsia="zh-CN" w:bidi="ar"/>
        </w:rPr>
        <w:t>另外，科技巨头掌握了海量的用户数据，使业务具备了相当的延展性。</w:t>
      </w:r>
      <w:r>
        <w:rPr>
          <w:rFonts w:hint="eastAsia" w:ascii="华文楷体" w:hAnsi="华文楷体" w:eastAsia="华文楷体" w:cs="华文楷体"/>
          <w:i w:val="0"/>
          <w:caps w:val="0"/>
          <w:color w:val="auto"/>
          <w:spacing w:val="0"/>
          <w:kern w:val="0"/>
          <w:sz w:val="28"/>
          <w:szCs w:val="28"/>
          <w:shd w:val="clear" w:fill="FFFFFF"/>
          <w:lang w:val="en-US" w:eastAsia="zh-CN" w:bidi="ar"/>
        </w:rPr>
        <w:t>以腾讯为例，从最初游戏业务起家，到过去几年广告业务开始发力，再到现在金融业务的扩展。2017 年，微信支付和支付宝的支付流水合计超过10万亿人民币，可以想象再过几年就几乎培育出了一个 Master 或 VISA。同时，金融业务还包含了另外两项盈利潜力巨大的业务：信贷和金融产品代销。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kern w:val="0"/>
          <w:sz w:val="28"/>
          <w:szCs w:val="28"/>
          <w:shd w:val="clear" w:fill="FFFFFF"/>
          <w:lang w:val="en-US" w:eastAsia="zh-CN" w:bidi="ar"/>
        </w:rPr>
      </w:pPr>
      <w:r>
        <w:rPr>
          <w:rFonts w:hint="eastAsia" w:ascii="华文楷体" w:hAnsi="华文楷体" w:eastAsia="华文楷体" w:cs="华文楷体"/>
          <w:i w:val="0"/>
          <w:caps w:val="0"/>
          <w:color w:val="auto"/>
          <w:spacing w:val="0"/>
          <w:kern w:val="0"/>
          <w:sz w:val="28"/>
          <w:szCs w:val="28"/>
          <w:shd w:val="clear" w:fill="FFFFFF"/>
          <w:lang w:val="en-US" w:eastAsia="zh-CN" w:bidi="ar"/>
        </w:rPr>
        <w:t>中国经济在 2008 年金融危机后，其实已经悄然发生了重要的结构变化。以互联网为代表的新兴行业在不到 10 年时间内形成了一批巨头公司，</w:t>
      </w:r>
      <w:r>
        <w:rPr>
          <w:rFonts w:hint="eastAsia" w:ascii="华文楷体" w:hAnsi="华文楷体" w:eastAsia="华文楷体" w:cs="华文楷体"/>
          <w:b/>
          <w:bCs/>
          <w:i w:val="0"/>
          <w:caps w:val="0"/>
          <w:color w:val="auto"/>
          <w:spacing w:val="0"/>
          <w:kern w:val="0"/>
          <w:sz w:val="28"/>
          <w:szCs w:val="28"/>
          <w:shd w:val="clear" w:fill="FFFFFF"/>
          <w:lang w:val="en-US" w:eastAsia="zh-CN" w:bidi="ar"/>
        </w:rPr>
        <w:t>积累大量自由现金流的优秀商业模式+寡头的竞争格局+业务边界的持续扩张，使投资具备了高增长+高确定这两个罕见同时出现的属性。</w:t>
      </w:r>
      <w:r>
        <w:rPr>
          <w:rFonts w:hint="eastAsia" w:ascii="华文楷体" w:hAnsi="华文楷体" w:eastAsia="华文楷体" w:cs="华文楷体"/>
          <w:i w:val="0"/>
          <w:caps w:val="0"/>
          <w:color w:val="auto"/>
          <w:spacing w:val="0"/>
          <w:kern w:val="0"/>
          <w:sz w:val="28"/>
          <w:szCs w:val="28"/>
          <w:shd w:val="clear" w:fill="FFFFFF"/>
          <w:lang w:val="en-US" w:eastAsia="zh-CN" w:bidi="ar"/>
        </w:rPr>
        <w:t>中国的上市公司是散落在 A 股、香港、美国三地的资本市场中，这就需要投资者开拓视野，在三地的资本市场中， 投资并分享最优秀中国上市公司的成长。</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jc w:val="center"/>
        <w:rPr>
          <w:rFonts w:hint="eastAsia" w:ascii="华文楷体" w:hAnsi="华文楷体" w:eastAsia="华文楷体" w:cs="华文楷体"/>
          <w:i w:val="0"/>
          <w:caps w:val="0"/>
          <w:color w:val="auto"/>
          <w:spacing w:val="0"/>
          <w:sz w:val="28"/>
          <w:szCs w:val="28"/>
          <w:shd w:val="clear" w:fill="FFFFFF"/>
          <w:lang w:val="en-US" w:eastAsia="zh-CN"/>
        </w:rPr>
      </w:pPr>
      <w:r>
        <w:rPr>
          <w:rFonts w:hint="eastAsia" w:ascii="华文楷体" w:hAnsi="华文楷体" w:eastAsia="华文楷体" w:cs="华文楷体"/>
          <w:i w:val="0"/>
          <w:caps w:val="0"/>
          <w:color w:val="auto"/>
          <w:spacing w:val="0"/>
          <w:sz w:val="28"/>
          <w:szCs w:val="28"/>
          <w:shd w:val="clear" w:fill="FFFFFF"/>
          <w:lang w:val="en-US"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210" w:afterAutospacing="0" w:line="21" w:lineRule="atLeast"/>
        <w:ind w:left="0" w:right="0" w:firstLine="663" w:firstLineChars="200"/>
        <w:jc w:val="center"/>
        <w:rPr>
          <w:sz w:val="33"/>
          <w:szCs w:val="33"/>
        </w:rPr>
      </w:pPr>
      <w:bookmarkStart w:id="12" w:name="_Toc28247"/>
      <w:r>
        <w:rPr>
          <w:sz w:val="33"/>
          <w:szCs w:val="33"/>
        </w:rPr>
        <w:t>价值投资适合中国国情</w:t>
      </w:r>
      <w:bookmarkEnd w:id="1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330" w:afterAutospacing="0" w:line="300" w:lineRule="atLeast"/>
        <w:ind w:left="0" w:right="0" w:firstLine="440" w:firstLineChars="200"/>
        <w:jc w:val="center"/>
        <w:rPr>
          <w:sz w:val="0"/>
          <w:szCs w:val="0"/>
        </w:rPr>
      </w:pPr>
      <w:r>
        <w:rPr>
          <w:rStyle w:val="12"/>
          <w:rFonts w:ascii="宋体" w:hAnsi="宋体" w:eastAsia="宋体" w:cs="宋体"/>
          <w:i w:val="0"/>
          <w:kern w:val="0"/>
          <w:sz w:val="22"/>
          <w:szCs w:val="22"/>
          <w:lang w:val="en-US" w:eastAsia="zh-CN" w:bidi="ar"/>
        </w:rPr>
        <w:t>2018-08-10</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19" w:lineRule="atLeast"/>
        <w:ind w:left="0" w:right="0" w:firstLine="592" w:firstLineChars="200"/>
        <w:jc w:val="right"/>
        <w:rPr>
          <w:rFonts w:hint="eastAsia" w:ascii="华文楷体" w:hAnsi="华文楷体" w:eastAsia="华文楷体" w:cs="华文楷体"/>
          <w:b w:val="0"/>
          <w:bCs/>
          <w:i w:val="0"/>
          <w:caps w:val="0"/>
          <w:color w:val="333333"/>
          <w:spacing w:val="8"/>
          <w:sz w:val="28"/>
          <w:szCs w:val="28"/>
        </w:rPr>
      </w:pPr>
      <w:r>
        <w:rPr>
          <w:rStyle w:val="11"/>
          <w:rFonts w:hint="eastAsia" w:ascii="华文楷体" w:hAnsi="华文楷体" w:eastAsia="华文楷体" w:cs="华文楷体"/>
          <w:b w:val="0"/>
          <w:bCs/>
          <w:i w:val="0"/>
          <w:caps w:val="0"/>
          <w:color w:val="000000"/>
          <w:spacing w:val="8"/>
          <w:sz w:val="28"/>
          <w:szCs w:val="28"/>
          <w:shd w:val="clear" w:fill="FFFFFF"/>
        </w:rPr>
        <w:t>张坤</w:t>
      </w:r>
      <w:r>
        <w:rPr>
          <w:rStyle w:val="11"/>
          <w:rFonts w:hint="eastAsia" w:ascii="华文楷体" w:hAnsi="华文楷体" w:eastAsia="华文楷体" w:cs="华文楷体"/>
          <w:b w:val="0"/>
          <w:bCs/>
          <w:i w:val="0"/>
          <w:caps w:val="0"/>
          <w:color w:val="000000"/>
          <w:spacing w:val="8"/>
          <w:sz w:val="28"/>
          <w:szCs w:val="28"/>
          <w:shd w:val="clear" w:fill="FFFFFF"/>
          <w:lang w:eastAsia="zh-CN"/>
        </w:rPr>
        <w:t>在发行易方达蓝筹精选期间</w:t>
      </w:r>
      <w:r>
        <w:rPr>
          <w:rStyle w:val="11"/>
          <w:rFonts w:hint="eastAsia" w:ascii="华文楷体" w:hAnsi="华文楷体" w:eastAsia="华文楷体" w:cs="华文楷体"/>
          <w:b w:val="0"/>
          <w:bCs/>
          <w:i w:val="0"/>
          <w:caps w:val="0"/>
          <w:color w:val="000000"/>
          <w:spacing w:val="8"/>
          <w:sz w:val="28"/>
          <w:szCs w:val="28"/>
          <w:shd w:val="clear" w:fill="FFFFFF"/>
        </w:rPr>
        <w:t>回答部分投资者提问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both"/>
        <w:rPr>
          <w:rFonts w:hint="eastAsia" w:ascii="华文楷体" w:hAnsi="华文楷体" w:eastAsia="华文楷体" w:cs="华文楷体"/>
          <w:sz w:val="28"/>
          <w:szCs w:val="28"/>
        </w:rPr>
      </w:pPr>
      <w:r>
        <w:rPr>
          <w:rFonts w:hint="eastAsia" w:ascii="华文楷体" w:hAnsi="华文楷体" w:eastAsia="华文楷体" w:cs="华文楷体"/>
          <w:color w:val="0080FF"/>
          <w:sz w:val="28"/>
          <w:szCs w:val="28"/>
        </w:rPr>
        <w:t>蓝筹精选界定的“蓝筹”是什么？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50" w:beforeAutospacing="0" w:after="0" w:afterAutospacing="0" w:line="315" w:lineRule="atLeast"/>
        <w:ind w:left="0" w:right="0" w:firstLine="560" w:firstLineChars="200"/>
        <w:jc w:val="both"/>
        <w:rPr>
          <w:rFonts w:hint="eastAsia" w:ascii="华文楷体" w:hAnsi="华文楷体" w:eastAsia="华文楷体" w:cs="华文楷体"/>
          <w:sz w:val="28"/>
          <w:szCs w:val="28"/>
        </w:rPr>
      </w:pPr>
      <w:r>
        <w:rPr>
          <w:rFonts w:hint="eastAsia" w:ascii="华文楷体" w:hAnsi="华文楷体" w:eastAsia="华文楷体" w:cs="华文楷体"/>
          <w:color w:val="000000"/>
          <w:sz w:val="28"/>
          <w:szCs w:val="28"/>
        </w:rPr>
        <w:t>张坤：蓝筹精选界定的是一个广义的蓝筹，也就是企业在过去的一段时间，通常是在5到10年内，经营指标非常优秀，包括在行业里有很高的行业地位、对上下游有很强的议价能力等综合地反映在财务指标上就很强的ROE和ROIC的水平。</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50" w:beforeAutospacing="0" w:after="0" w:afterAutospacing="0" w:line="315" w:lineRule="atLeast"/>
        <w:ind w:left="0" w:right="0" w:firstLine="560" w:firstLineChars="200"/>
        <w:jc w:val="both"/>
        <w:rPr>
          <w:rFonts w:hint="eastAsia" w:ascii="华文楷体" w:hAnsi="华文楷体" w:eastAsia="华文楷体" w:cs="华文楷体"/>
          <w:sz w:val="28"/>
          <w:szCs w:val="28"/>
        </w:rPr>
      </w:pPr>
      <w:r>
        <w:rPr>
          <w:rFonts w:hint="eastAsia" w:ascii="华文楷体" w:hAnsi="华文楷体" w:eastAsia="华文楷体" w:cs="华文楷体"/>
          <w:color w:val="000000"/>
          <w:sz w:val="28"/>
          <w:szCs w:val="28"/>
        </w:rPr>
        <w:t>蓝筹包括各个行业：银行地产、消费、医药、科技等，是各个行业里面最优秀的一批公司。</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both"/>
        <w:rPr>
          <w:rFonts w:hint="eastAsia" w:ascii="华文楷体" w:hAnsi="华文楷体" w:eastAsia="华文楷体" w:cs="华文楷体"/>
          <w:color w:val="0080FF"/>
          <w:sz w:val="28"/>
          <w:szCs w:val="28"/>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both"/>
        <w:rPr>
          <w:rFonts w:hint="eastAsia" w:ascii="华文楷体" w:hAnsi="华文楷体" w:eastAsia="华文楷体" w:cs="华文楷体"/>
          <w:sz w:val="28"/>
          <w:szCs w:val="28"/>
        </w:rPr>
      </w:pPr>
      <w:r>
        <w:rPr>
          <w:rFonts w:hint="eastAsia" w:ascii="华文楷体" w:hAnsi="华文楷体" w:eastAsia="华文楷体" w:cs="华文楷体"/>
          <w:color w:val="0080FF"/>
          <w:sz w:val="28"/>
          <w:szCs w:val="28"/>
        </w:rPr>
        <w:t>您投资理念中的“控制股票下行风险”具体是如何实施的？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50" w:beforeAutospacing="0" w:after="0" w:afterAutospacing="0" w:line="315" w:lineRule="atLeast"/>
        <w:ind w:left="0" w:right="0" w:firstLine="560" w:firstLineChars="200"/>
        <w:jc w:val="both"/>
        <w:rPr>
          <w:rFonts w:hint="eastAsia" w:ascii="华文楷体" w:hAnsi="华文楷体" w:eastAsia="华文楷体" w:cs="华文楷体"/>
          <w:sz w:val="28"/>
          <w:szCs w:val="28"/>
        </w:rPr>
      </w:pPr>
      <w:r>
        <w:rPr>
          <w:rFonts w:hint="eastAsia" w:ascii="华文楷体" w:hAnsi="华文楷体" w:eastAsia="华文楷体" w:cs="华文楷体"/>
          <w:color w:val="000000"/>
          <w:sz w:val="28"/>
          <w:szCs w:val="28"/>
        </w:rPr>
        <w:t>张坤：</w:t>
      </w:r>
      <w:r>
        <w:rPr>
          <w:rFonts w:hint="eastAsia" w:ascii="华文楷体" w:hAnsi="华文楷体" w:eastAsia="华文楷体" w:cs="华文楷体"/>
          <w:b/>
          <w:bCs/>
          <w:color w:val="000000"/>
          <w:sz w:val="28"/>
          <w:szCs w:val="28"/>
        </w:rPr>
        <w:t>投资组合的下行风险不是通过仓位去控制的，而是通过具体标的选择去控制的。用苛刻的眼光去考虑企业在最艰难的情况下经营会产生什么样的结果以及出现了这种结果之后，股票会下行多少？如果公司潜在下行风险较大，哪怕可能有比较大的上涨空间，也不会纳入到组合范围里来。</w:t>
      </w:r>
      <w:r>
        <w:rPr>
          <w:rFonts w:hint="eastAsia" w:ascii="华文楷体" w:hAnsi="华文楷体" w:eastAsia="华文楷体" w:cs="华文楷体"/>
          <w:color w:val="000000"/>
          <w:sz w:val="28"/>
          <w:szCs w:val="28"/>
        </w:rPr>
        <w:t>总的来说还是通过严格的基本面筛选去控制股票下行风险。</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both"/>
        <w:rPr>
          <w:rFonts w:hint="eastAsia" w:ascii="华文楷体" w:hAnsi="华文楷体" w:eastAsia="华文楷体" w:cs="华文楷体"/>
          <w:color w:val="0080FF"/>
          <w:sz w:val="28"/>
          <w:szCs w:val="28"/>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both"/>
        <w:rPr>
          <w:rFonts w:hint="eastAsia" w:ascii="华文楷体" w:hAnsi="华文楷体" w:eastAsia="华文楷体" w:cs="华文楷体"/>
          <w:sz w:val="28"/>
          <w:szCs w:val="28"/>
        </w:rPr>
      </w:pPr>
      <w:r>
        <w:rPr>
          <w:rFonts w:hint="eastAsia" w:ascii="华文楷体" w:hAnsi="华文楷体" w:eastAsia="华文楷体" w:cs="华文楷体"/>
          <w:color w:val="0080FF"/>
          <w:sz w:val="28"/>
          <w:szCs w:val="28"/>
        </w:rPr>
        <w:t>我们观察到您的持股集中度比较高？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50" w:beforeAutospacing="0" w:after="0" w:afterAutospacing="0" w:line="315" w:lineRule="atLeast"/>
        <w:ind w:left="0" w:right="0" w:firstLine="560" w:firstLineChars="200"/>
        <w:jc w:val="both"/>
        <w:rPr>
          <w:rFonts w:hint="eastAsia" w:ascii="华文楷体" w:hAnsi="华文楷体" w:eastAsia="华文楷体" w:cs="华文楷体"/>
          <w:sz w:val="28"/>
          <w:szCs w:val="28"/>
        </w:rPr>
      </w:pPr>
      <w:r>
        <w:rPr>
          <w:rFonts w:hint="eastAsia" w:ascii="华文楷体" w:hAnsi="华文楷体" w:eastAsia="华文楷体" w:cs="华文楷体"/>
          <w:color w:val="000000"/>
          <w:sz w:val="28"/>
          <w:szCs w:val="28"/>
        </w:rPr>
        <w:t>张坤：我管理的产品从历史来看，集中度都比较高，并且换手率比较低。关于集中度，</w:t>
      </w:r>
      <w:r>
        <w:rPr>
          <w:rFonts w:hint="eastAsia" w:ascii="华文楷体" w:hAnsi="华文楷体" w:eastAsia="华文楷体" w:cs="华文楷体"/>
          <w:b/>
          <w:bCs/>
          <w:color w:val="000000"/>
          <w:sz w:val="28"/>
          <w:szCs w:val="28"/>
        </w:rPr>
        <w:t>我还是相信巴菲特所说的“把你的鸡蛋都装在一个篮子里，然后看好你的篮子”。做好深入研究，并在此基础上重仓持有个股，还是散弹枪似的买很多个股，但对企业基本面并没有深入了解？我相信从长期来看，第一种方式风险更可控，长期收益更容易预期。</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92" w:firstLineChars="200"/>
        <w:jc w:val="both"/>
        <w:rPr>
          <w:rFonts w:hint="eastAsia" w:ascii="华文楷体" w:hAnsi="华文楷体" w:eastAsia="华文楷体" w:cs="华文楷体"/>
          <w:i w:val="0"/>
          <w:caps w:val="0"/>
          <w:color w:val="333333"/>
          <w:spacing w:val="8"/>
          <w:sz w:val="28"/>
          <w:szCs w:val="28"/>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both"/>
        <w:rPr>
          <w:rFonts w:hint="eastAsia" w:ascii="华文楷体" w:hAnsi="华文楷体" w:eastAsia="华文楷体" w:cs="华文楷体"/>
          <w:sz w:val="28"/>
          <w:szCs w:val="28"/>
        </w:rPr>
      </w:pPr>
      <w:r>
        <w:rPr>
          <w:rFonts w:hint="eastAsia" w:ascii="华文楷体" w:hAnsi="华文楷体" w:eastAsia="华文楷体" w:cs="华文楷体"/>
          <w:color w:val="0080FF"/>
          <w:sz w:val="28"/>
          <w:szCs w:val="28"/>
        </w:rPr>
        <w:t>易方达蓝筹精选适合做定投吗？</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50" w:beforeAutospacing="0" w:after="0" w:afterAutospacing="0" w:line="315" w:lineRule="atLeast"/>
        <w:ind w:left="0" w:right="0" w:firstLine="560" w:firstLineChars="200"/>
        <w:jc w:val="both"/>
        <w:rPr>
          <w:rFonts w:hint="eastAsia" w:ascii="华文楷体" w:hAnsi="华文楷体" w:eastAsia="华文楷体" w:cs="华文楷体"/>
          <w:sz w:val="28"/>
          <w:szCs w:val="28"/>
        </w:rPr>
      </w:pPr>
      <w:r>
        <w:rPr>
          <w:rFonts w:hint="eastAsia" w:ascii="华文楷体" w:hAnsi="华文楷体" w:eastAsia="华文楷体" w:cs="华文楷体"/>
          <w:color w:val="000000"/>
          <w:sz w:val="28"/>
          <w:szCs w:val="28"/>
        </w:rPr>
        <w:t>张坤：我觉得这个产品是适合做定投的。长期来看，企业盈利可以不断地增长，而定投可以不断地通过削峰填谷的方式，避免在情绪高涨的时候买入大量的基金，保证在低谷的时候也会对基金有所申购。我自己就在定投易方达中小盘和亚洲精选基金。</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92" w:firstLineChars="200"/>
        <w:jc w:val="both"/>
        <w:rPr>
          <w:rFonts w:hint="eastAsia" w:ascii="华文楷体" w:hAnsi="华文楷体" w:eastAsia="华文楷体" w:cs="华文楷体"/>
          <w:i w:val="0"/>
          <w:caps w:val="0"/>
          <w:color w:val="333333"/>
          <w:spacing w:val="8"/>
          <w:sz w:val="28"/>
          <w:szCs w:val="28"/>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both"/>
        <w:rPr>
          <w:rFonts w:hint="eastAsia" w:ascii="华文楷体" w:hAnsi="华文楷体" w:eastAsia="华文楷体" w:cs="华文楷体"/>
          <w:sz w:val="28"/>
          <w:szCs w:val="28"/>
        </w:rPr>
      </w:pPr>
      <w:r>
        <w:rPr>
          <w:rFonts w:hint="eastAsia" w:ascii="华文楷体" w:hAnsi="华文楷体" w:eastAsia="华文楷体" w:cs="华文楷体"/>
          <w:color w:val="0080FF"/>
          <w:sz w:val="28"/>
          <w:szCs w:val="28"/>
        </w:rPr>
        <w:t>蓝筹精选投资范围涵盖港股，能否简单谈下您的港股投资经验？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50" w:beforeAutospacing="0" w:after="0" w:afterAutospacing="0" w:line="315" w:lineRule="atLeast"/>
        <w:ind w:left="0" w:right="0" w:firstLine="560" w:firstLineChars="200"/>
        <w:jc w:val="both"/>
        <w:rPr>
          <w:rFonts w:hint="eastAsia" w:ascii="华文楷体" w:hAnsi="华文楷体" w:eastAsia="华文楷体" w:cs="华文楷体"/>
          <w:sz w:val="28"/>
          <w:szCs w:val="28"/>
        </w:rPr>
      </w:pPr>
      <w:r>
        <w:rPr>
          <w:rFonts w:hint="eastAsia" w:ascii="华文楷体" w:hAnsi="华文楷体" w:eastAsia="华文楷体" w:cs="华文楷体"/>
          <w:color w:val="000000"/>
          <w:sz w:val="28"/>
          <w:szCs w:val="28"/>
        </w:rPr>
        <w:t>张坤：我从2014年4月份开始管理易方达亚洲精选，主要投资香港和美国市场。经过四年的积累，应该说对香港市场不管是研究和投资都有相当的经验。我也是市场里面少有同时兼任A股和QDII产品的基金经理，且两个市场均有四年以上的投资经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ind w:left="0" w:right="0" w:firstLine="592" w:firstLineChars="200"/>
        <w:jc w:val="both"/>
        <w:rPr>
          <w:rFonts w:hint="eastAsia" w:ascii="华文楷体" w:hAnsi="华文楷体" w:eastAsia="华文楷体" w:cs="华文楷体"/>
          <w:i w:val="0"/>
          <w:caps w:val="0"/>
          <w:color w:val="333333"/>
          <w:spacing w:val="8"/>
          <w:sz w:val="28"/>
          <w:szCs w:val="28"/>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both"/>
        <w:rPr>
          <w:rFonts w:hint="eastAsia" w:ascii="华文楷体" w:hAnsi="华文楷体" w:eastAsia="华文楷体" w:cs="华文楷体"/>
          <w:sz w:val="28"/>
          <w:szCs w:val="28"/>
        </w:rPr>
      </w:pPr>
      <w:r>
        <w:rPr>
          <w:rFonts w:hint="eastAsia" w:ascii="华文楷体" w:hAnsi="华文楷体" w:eastAsia="华文楷体" w:cs="华文楷体"/>
          <w:color w:val="0080FF"/>
          <w:sz w:val="28"/>
          <w:szCs w:val="28"/>
        </w:rPr>
        <w:t>消费行业选股时为什么更看重每股自由现金流、有息负债率两个指标？</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50" w:beforeAutospacing="0" w:after="0" w:afterAutospacing="0" w:line="315" w:lineRule="atLeast"/>
        <w:ind w:left="0" w:right="0" w:firstLine="560" w:firstLineChars="200"/>
        <w:jc w:val="both"/>
        <w:rPr>
          <w:rFonts w:hint="eastAsia" w:ascii="华文楷体" w:hAnsi="华文楷体" w:eastAsia="华文楷体" w:cs="华文楷体"/>
          <w:sz w:val="28"/>
          <w:szCs w:val="28"/>
        </w:rPr>
      </w:pPr>
      <w:r>
        <w:rPr>
          <w:rFonts w:hint="eastAsia" w:ascii="华文楷体" w:hAnsi="华文楷体" w:eastAsia="华文楷体" w:cs="华文楷体"/>
          <w:color w:val="000000"/>
          <w:sz w:val="28"/>
          <w:szCs w:val="28"/>
        </w:rPr>
        <w:t>张坤：实际在任何行业选股，都非常看重每股自由现金流和有息负债率两个指标。</w:t>
      </w:r>
      <w:r>
        <w:rPr>
          <w:rFonts w:hint="eastAsia" w:ascii="华文楷体" w:hAnsi="华文楷体" w:eastAsia="华文楷体" w:cs="华文楷体"/>
          <w:b/>
          <w:bCs/>
          <w:color w:val="000000"/>
          <w:sz w:val="28"/>
          <w:szCs w:val="28"/>
        </w:rPr>
        <w:t>因为从长期看，企业的价值是取决于自由现金流的折现。A股有很多公司是有盈利，但自由现金流非常弱，这种企业不是我们的投资标的，长期看也很难给股东创造价值。</w:t>
      </w:r>
      <w:r>
        <w:rPr>
          <w:rFonts w:hint="eastAsia" w:ascii="华文楷体" w:hAnsi="华文楷体" w:eastAsia="华文楷体" w:cs="华文楷体"/>
          <w:color w:val="000000"/>
          <w:sz w:val="28"/>
          <w:szCs w:val="28"/>
        </w:rPr>
        <w:t>所以每股自由现金流是企业有价值的一个重要的前提条件之一。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50" w:beforeAutospacing="0" w:after="0" w:afterAutospacing="0" w:line="315" w:lineRule="atLeast"/>
        <w:ind w:left="0" w:right="0" w:firstLine="560" w:firstLineChars="200"/>
        <w:jc w:val="both"/>
        <w:rPr>
          <w:rFonts w:hint="eastAsia" w:ascii="华文楷体" w:hAnsi="华文楷体" w:eastAsia="华文楷体" w:cs="华文楷体"/>
          <w:sz w:val="28"/>
          <w:szCs w:val="28"/>
        </w:rPr>
      </w:pPr>
      <w:r>
        <w:rPr>
          <w:rFonts w:hint="eastAsia" w:ascii="华文楷体" w:hAnsi="华文楷体" w:eastAsia="华文楷体" w:cs="华文楷体"/>
          <w:color w:val="000000"/>
          <w:sz w:val="28"/>
          <w:szCs w:val="28"/>
        </w:rPr>
        <w:t>有息负债率指标一定程度能反映企业自身造血能力。因为A股公司很少借债回购公司股票，对于优秀的造血能力强的上市公司来说，很快就会通过经营产生现金流，从而把有息负债降低到一个很低的水平。这在一定程度上也反映出企业的商业模式是否优秀，这也是一个重要的判断指标。</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50" w:beforeAutospacing="0" w:after="0" w:afterAutospacing="0" w:line="315" w:lineRule="atLeast"/>
        <w:ind w:left="0" w:right="0" w:firstLine="560" w:firstLineChars="200"/>
        <w:jc w:val="both"/>
        <w:rPr>
          <w:rFonts w:hint="eastAsia" w:ascii="华文楷体" w:hAnsi="华文楷体" w:eastAsia="华文楷体" w:cs="华文楷体"/>
          <w:sz w:val="28"/>
          <w:szCs w:val="28"/>
        </w:rPr>
      </w:pPr>
      <w:r>
        <w:rPr>
          <w:rFonts w:hint="eastAsia" w:ascii="华文楷体" w:hAnsi="华文楷体" w:eastAsia="华文楷体" w:cs="华文楷体"/>
          <w:color w:val="000000"/>
          <w:sz w:val="28"/>
          <w:szCs w:val="28"/>
        </w:rPr>
        <w:t>所以这两项指标对于判断各个行业优秀企业都是很重要的。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both"/>
        <w:rPr>
          <w:rFonts w:hint="eastAsia" w:ascii="华文楷体" w:hAnsi="华文楷体" w:eastAsia="华文楷体" w:cs="华文楷体"/>
          <w:color w:val="0080FF"/>
          <w:sz w:val="28"/>
          <w:szCs w:val="28"/>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60" w:firstLineChars="200"/>
        <w:jc w:val="both"/>
        <w:rPr>
          <w:rFonts w:hint="eastAsia" w:ascii="华文楷体" w:hAnsi="华文楷体" w:eastAsia="华文楷体" w:cs="华文楷体"/>
          <w:sz w:val="28"/>
          <w:szCs w:val="28"/>
        </w:rPr>
      </w:pPr>
      <w:r>
        <w:rPr>
          <w:rFonts w:hint="eastAsia" w:ascii="华文楷体" w:hAnsi="华文楷体" w:eastAsia="华文楷体" w:cs="华文楷体"/>
          <w:color w:val="0080FF"/>
          <w:sz w:val="28"/>
          <w:szCs w:val="28"/>
        </w:rPr>
        <w:t>您认为价值投资适用于中国国情吗？</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50" w:beforeAutospacing="0" w:after="0" w:afterAutospacing="0" w:line="315" w:lineRule="atLeast"/>
        <w:ind w:left="0" w:right="0" w:firstLine="560" w:firstLineChars="200"/>
        <w:jc w:val="both"/>
        <w:rPr>
          <w:rFonts w:hint="eastAsia" w:ascii="华文楷体" w:hAnsi="华文楷体" w:eastAsia="华文楷体" w:cs="华文楷体"/>
          <w:sz w:val="28"/>
          <w:szCs w:val="28"/>
        </w:rPr>
      </w:pPr>
      <w:r>
        <w:rPr>
          <w:rFonts w:hint="eastAsia" w:ascii="华文楷体" w:hAnsi="华文楷体" w:eastAsia="华文楷体" w:cs="华文楷体"/>
          <w:color w:val="000000"/>
          <w:sz w:val="28"/>
          <w:szCs w:val="28"/>
        </w:rPr>
        <w:t>张坤：我相信价值投资在中国是适用的。价值投资的理念就是以合理的价格买入优秀上市公司股票并分享公司的成长，我相信这个道理在全球各个市场是普适的。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50" w:beforeAutospacing="0" w:after="0" w:afterAutospacing="0" w:line="315" w:lineRule="atLeast"/>
        <w:ind w:left="0" w:right="0" w:firstLine="560" w:firstLineChars="200"/>
        <w:jc w:val="both"/>
        <w:rPr>
          <w:rFonts w:hint="eastAsia" w:ascii="华文楷体" w:hAnsi="华文楷体" w:eastAsia="华文楷体" w:cs="华文楷体"/>
          <w:sz w:val="28"/>
          <w:szCs w:val="28"/>
        </w:rPr>
      </w:pPr>
      <w:r>
        <w:rPr>
          <w:rFonts w:hint="eastAsia" w:ascii="华文楷体" w:hAnsi="华文楷体" w:eastAsia="华文楷体" w:cs="华文楷体"/>
          <w:color w:val="000000"/>
          <w:sz w:val="28"/>
          <w:szCs w:val="28"/>
        </w:rPr>
        <w:t>近期消费、医药类股票调整幅度较大，中长期来看，其实提供了一个很好的介入的机会。只要这批企业足够优秀，他们的行业又提供了足够的成长空间，这批企业就会保持它的市占率，获得一个与行业同步甚至更快的成长。随着经济增速放缓，优质企业相比于平庸企业竞争力越来越强，拉开的差距也越来越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ind w:left="0" w:right="0" w:firstLine="500" w:firstLineChars="200"/>
        <w:jc w:val="both"/>
        <w:rPr>
          <w:color w:val="333333"/>
          <w:sz w:val="25"/>
          <w:szCs w:val="25"/>
        </w:rPr>
      </w:pP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shd w:val="clear" w:fill="FFFFFF"/>
          <w:lang w:val="en-US" w:eastAsia="zh-CN"/>
        </w:rPr>
      </w:pPr>
      <w:r>
        <w:rPr>
          <w:rFonts w:hint="eastAsia" w:ascii="华文楷体" w:hAnsi="华文楷体" w:eastAsia="华文楷体" w:cs="华文楷体"/>
          <w:i w:val="0"/>
          <w:caps w:val="0"/>
          <w:color w:val="auto"/>
          <w:spacing w:val="0"/>
          <w:sz w:val="28"/>
          <w:szCs w:val="28"/>
          <w:shd w:val="clear" w:fill="FFFFFF"/>
          <w:lang w:val="en-US" w:eastAsia="zh-CN"/>
        </w:rPr>
        <w:t>-----------</w:t>
      </w:r>
    </w:p>
    <w:p>
      <w:pPr>
        <w:pStyle w:val="3"/>
        <w:pageBreakBefore w:val="0"/>
        <w:kinsoku/>
        <w:overflowPunct/>
        <w:topLinePunct w:val="0"/>
        <w:autoSpaceDE/>
        <w:autoSpaceDN/>
        <w:bidi w:val="0"/>
        <w:adjustRightInd/>
        <w:snapToGrid/>
        <w:ind w:firstLine="643" w:firstLineChars="200"/>
        <w:jc w:val="center"/>
        <w:rPr>
          <w:rFonts w:hint="eastAsia"/>
          <w:color w:val="auto"/>
        </w:rPr>
      </w:pPr>
      <w:bookmarkStart w:id="13" w:name="_Toc8775"/>
      <w:r>
        <w:rPr>
          <w:rFonts w:hint="eastAsia"/>
          <w:color w:val="auto"/>
        </w:rPr>
        <w:t>耐心的力量</w:t>
      </w:r>
      <w:bookmarkEnd w:id="1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300" w:beforeAutospacing="0" w:after="0" w:afterAutospacing="0" w:line="15" w:lineRule="atLeast"/>
        <w:ind w:left="0" w:right="0" w:firstLine="560" w:firstLineChars="200"/>
        <w:jc w:val="center"/>
        <w:textAlignment w:val="baseline"/>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kern w:val="0"/>
          <w:sz w:val="28"/>
          <w:szCs w:val="28"/>
          <w:shd w:val="clear" w:fill="FFFFFF"/>
          <w:vertAlign w:val="baseline"/>
          <w:lang w:val="en-US" w:eastAsia="zh-CN" w:bidi="ar"/>
        </w:rPr>
        <w:t>2019-7-12</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张坤视巴菲特为榜样，信奉价值投资――用巴菲特的话说，价值投资的含义是，“买入优秀的企业，分享企业经营的成果。”在这一哲学指导下，他形成了简明、坚定的投资逻辑：纯粹自下而上，选择成长确定性强的公司，在有较强估值保护的情况下买入，低换手率，集中持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首先是选公司。张坤的标准是“不想持有十年以上，就不要持有一分钟”。初选的第一步是看财务指标。他要求公司在较长时间内，比如过去5至10年，平均ROIC不低于10%且没有大幅波动。第二步是剔除高杠杆的公司，比如有息负债率过高、或有频繁股权融资的历史。张坤说，他不喜欢商业模式上有大量负债的重资产类公司，喜欢那些依靠自身诚实经营积累现金流成长起来的、内生性成长的公司。第三步，再排除掉行业中地位不够高、对上下游议价能力不强、营运资本高的企业。至此，A股数千家公司，能通过他初选标准的已经不超过三百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针对标的池中的公司，他会花大量时间去研究，“把公司研究做到极致”。而在研究手段中，“阅读甚至比调研更重要。”张坤说，实地调研大多以被动接受上市公司想要传递的信息为主，带有一定的倾向性，不能完全反映真实。通过大量阅读资料、不断交叉验证，方能去伪存真：“魔鬼都藏在细节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因此，每天除了开会和很少的交易时间，他大多数时间和精力都是放在阅读上――有目的性、有针对性、范围极广的阅读。为了对行业和公司理解透彻，</w:t>
      </w:r>
      <w:r>
        <w:rPr>
          <w:rFonts w:hint="eastAsia" w:ascii="华文楷体" w:hAnsi="华文楷体" w:eastAsia="华文楷体" w:cs="华文楷体"/>
          <w:b/>
          <w:bCs/>
          <w:i w:val="0"/>
          <w:caps w:val="0"/>
          <w:color w:val="auto"/>
          <w:spacing w:val="0"/>
          <w:sz w:val="28"/>
          <w:szCs w:val="28"/>
          <w:shd w:val="clear" w:fill="FFFFFF"/>
          <w:vertAlign w:val="baseline"/>
        </w:rPr>
        <w:t>他每年会阅读800-1000份公司的年报，认为年报是最客观的反映企业历史成绩单的资料，也会读几乎所有可以找到的深度报告、相关人物传记以及一切能和公司关联的资料。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然而评估一家企业的价值不是一件容易的事，张坤对此极为谨慎，尽量剥除干扰因素去评判其真实价值。首先，他不仅会看业绩增速高低，还会看业绩持续性；其次，预测业绩时，他会在综合考虑乐观概率和悲观概率后再出价，以免预估过高；此外，他会剔除公司业绩增长中的行业景气因素，并会在优质企业短期遇到困难时果断介入，比如2013年的贵州茅台、2017年的华兰生物</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据Wind统计，与沪深300成份股相比，易方达中小盘偏好的股票明显具有更高的ROIC、ROE和更低的有息负债率。在财务分析中，这样的指标往往正意味着公司具有较强的产生自由现金流的能力和较低的负债水平，而创造自由现金流的能力强，意味着企业有很难复制的商业模式、足够强大的竞争优势、足够深的护城河，并能以此为基础实现稳定的业绩增长。</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　</w:t>
      </w:r>
      <w:r>
        <w:rPr>
          <w:rFonts w:hint="eastAsia" w:ascii="华文楷体" w:hAnsi="华文楷体" w:eastAsia="华文楷体" w:cs="华文楷体"/>
          <w:b/>
          <w:bCs/>
          <w:i w:val="0"/>
          <w:caps w:val="0"/>
          <w:color w:val="auto"/>
          <w:spacing w:val="0"/>
          <w:sz w:val="28"/>
          <w:szCs w:val="28"/>
          <w:shd w:val="clear" w:fill="FFFFFF"/>
          <w:vertAlign w:val="baseline"/>
        </w:rPr>
        <w:t>　强调安全边际</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其次，即使是好公司，也必须在足够安全边际的保护下买入，才有可能“从中真正获取价值”、从而实现长期的复利增值。</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张坤曾写道，本金亏损是股票投资的最大风险所在，“一旦有本金亏损，后续收益率即使更高也难以弥补对复合收益率的伤害。”考量公司时，他会思考，</w:t>
      </w:r>
      <w:r>
        <w:rPr>
          <w:rFonts w:hint="eastAsia" w:ascii="华文楷体" w:hAnsi="华文楷体" w:eastAsia="华文楷体" w:cs="华文楷体"/>
          <w:b/>
          <w:bCs/>
          <w:i w:val="0"/>
          <w:caps w:val="0"/>
          <w:color w:val="auto"/>
          <w:spacing w:val="0"/>
          <w:sz w:val="28"/>
          <w:szCs w:val="28"/>
          <w:shd w:val="clear" w:fill="FFFFFF"/>
          <w:vertAlign w:val="baseline"/>
        </w:rPr>
        <w:t>如果用目前的市值将公司私有化，站在五年的视角能否算得过来账。</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对安全边际的强调，形成了对产品回撤的有效控制。以易方达蓝筹精选为例，这只产品建仓初期即遭遇市场回调，但产品回撤极小，成立至今（截至7月10日）收益率为34.71%。</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　　和优秀的公司站在一起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最后，对选定的公司，他会集中、长期、坚定地持有。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以贵州茅台为例，易方达中小盘是所有主动管理基金中持有茅台最多的产品之一。这只股票2013年二季度首次进入易方达中小盘的前十大重仓股名单，此后六年从未离开过。同样是10%左右的仓位，对应市值已经从2013年二季度的2亿元一路升至今年一季度末的12亿元，为基金创造了丰厚的收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在这六年的历程中，茅台曾受累于白酒行业塑化剂风波、股灾等因素多次出现大幅回撤。自2013年二季度以来，易方达中小盘是所有公募基金中唯一一只连续24个季度在前十大重仓股中持有贵州茅台的产品。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截至今年一季度末，易方达中小盘最新的前十大重仓股中，茅台已经连续持有24个季度，五粮液(000858)连续持有21个季度，泸州老窖(000568)连续持有16个季度，上海机场(600009)连续持有10个季度，苏泊尔(002032)连续持有10个季度，华兰生物连续持有6个季度，爱尔眼科(300015)连续持有6个季度。这些长期重仓持有的优秀公司为基金贡献了大量收益。据Wind统计，自张坤管理以来，易方达中小盘的换手率每年在所有公募基金中均位于最低10%之列。</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很幸运能陪伴企业一起成长。”张坤说，他相信，真正优质的企业是罕见的，他的理想是陪这些优质企业10年、20年一直走下去。因此，他基本不做择时，易方达中小盘的股票仓位稳定在90%左右，前十大重仓股占净值比大部分时间维持在70%左右。</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　　耐心</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有趣的是，价值投资早已成为显学，为什么实践中能真正把业绩做好的很少？巴菲特自己给的答案是，</w:t>
      </w:r>
      <w:r>
        <w:rPr>
          <w:rFonts w:hint="eastAsia" w:ascii="华文楷体" w:hAnsi="华文楷体" w:eastAsia="华文楷体" w:cs="华文楷体"/>
          <w:b/>
          <w:bCs/>
          <w:i w:val="0"/>
          <w:caps w:val="0"/>
          <w:color w:val="auto"/>
          <w:spacing w:val="0"/>
          <w:sz w:val="28"/>
          <w:szCs w:val="28"/>
          <w:shd w:val="clear" w:fill="FFFFFF"/>
          <w:vertAlign w:val="baseline"/>
        </w:rPr>
        <w:t>“投资其实不需要巨大的智慧，但很多时候需要一种稳定的情绪控制能力。”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曾有人用一则日本寓言来形容基金经理对待市场的不同态度：战国时期，织田信长、丰臣秀吉、德川家康三人，有人问他们，杜鹃不鸣，何如？信长公云：我令其鸣。秀吉公云：我诱其鸣。家康公云：我待其鸣。最终，是持有敬畏之心的德川家康结束了日本的战国时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2013年10月，开始管理基金一年多后，张坤为德川家康传记写下一篇读后感。他写道：“从天赋来看，家康似乎并不如信玄、信长和秀吉，但他总是拼命学习，并用经验教训不断改造自己……面对未来四五十年的投资生涯，我们可以从家康身上学习很多优秀的品质，唯有保持耐心，不懈努力研究，从正确中获取经验，从错误中汲取教训，方能在投资上最终取得些成就。”</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b/>
          <w:bCs/>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“人生有如负重行远，不可急躁。”张坤曾经告诉媒体记者，</w:t>
      </w:r>
      <w:r>
        <w:rPr>
          <w:rFonts w:hint="eastAsia" w:ascii="华文楷体" w:hAnsi="华文楷体" w:eastAsia="华文楷体" w:cs="华文楷体"/>
          <w:b/>
          <w:bCs/>
          <w:i w:val="0"/>
          <w:caps w:val="0"/>
          <w:color w:val="auto"/>
          <w:spacing w:val="0"/>
          <w:sz w:val="28"/>
          <w:szCs w:val="28"/>
          <w:shd w:val="clear" w:fill="FFFFFF"/>
          <w:vertAlign w:val="baseline"/>
        </w:rPr>
        <w:t>稍有闲暇，他便会把巴菲特历年致股东信拿出来反复研读，对照自己的投资思路，在持续反思中获得新的启发。</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708" w:beforeAutospacing="0" w:after="346" w:afterAutospacing="0" w:line="15" w:lineRule="atLeast"/>
        <w:ind w:left="0" w:right="0" w:firstLine="560" w:firstLineChars="200"/>
        <w:jc w:val="both"/>
        <w:textAlignment w:val="baseline"/>
        <w:rPr>
          <w:rFonts w:hint="eastAsia" w:ascii="华文楷体" w:hAnsi="华文楷体" w:eastAsia="华文楷体" w:cs="华文楷体"/>
          <w:color w:val="auto"/>
          <w:sz w:val="28"/>
          <w:szCs w:val="28"/>
        </w:rPr>
      </w:pPr>
      <w:r>
        <w:rPr>
          <w:rFonts w:hint="eastAsia" w:ascii="华文楷体" w:hAnsi="华文楷体" w:eastAsia="华文楷体" w:cs="华文楷体"/>
          <w:i w:val="0"/>
          <w:caps w:val="0"/>
          <w:color w:val="auto"/>
          <w:spacing w:val="0"/>
          <w:sz w:val="28"/>
          <w:szCs w:val="28"/>
          <w:shd w:val="clear" w:fill="FFFFFF"/>
          <w:vertAlign w:val="baseline"/>
        </w:rPr>
        <w:t>方法、技巧是“术”，而在投资过程中不断自省是“道”。张坤说，“术”、“道”相合，不断精进，是巴菲特的制胜之道，也是他正在走、将来还会坚持走下去的道路。</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lang w:val="en-US" w:eastAsia="zh-CN"/>
        </w:rPr>
      </w:pPr>
      <w:r>
        <w:rPr>
          <w:rFonts w:hint="eastAsia" w:ascii="华文楷体" w:hAnsi="华文楷体" w:eastAsia="华文楷体" w:cs="华文楷体"/>
          <w:i w:val="0"/>
          <w:caps w:val="0"/>
          <w:color w:val="auto"/>
          <w:spacing w:val="0"/>
          <w:sz w:val="28"/>
          <w:szCs w:val="28"/>
          <w:lang w:val="en-US" w:eastAsia="zh-CN"/>
        </w:rPr>
        <w:t>----------------------</w:t>
      </w:r>
      <w:r>
        <w:rPr>
          <w:rFonts w:hint="eastAsia" w:ascii="华文楷体" w:hAnsi="华文楷体" w:eastAsia="华文楷体" w:cs="华文楷体"/>
          <w:i w:val="0"/>
          <w:caps w:val="0"/>
          <w:color w:val="auto"/>
          <w:spacing w:val="0"/>
          <w:kern w:val="2"/>
          <w:sz w:val="28"/>
          <w:szCs w:val="28"/>
          <w:shd w:val="clear" w:fill="FFFFFF"/>
          <w:lang w:val="en-US" w:eastAsia="zh-CN" w:bidi="ar-SA"/>
        </w:rPr>
        <w:br w:type="textWrapping"/>
      </w:r>
    </w:p>
    <w:p>
      <w:pPr>
        <w:pStyle w:val="3"/>
        <w:pageBreakBefore w:val="0"/>
        <w:kinsoku/>
        <w:overflowPunct/>
        <w:topLinePunct w:val="0"/>
        <w:autoSpaceDE/>
        <w:autoSpaceDN/>
        <w:bidi w:val="0"/>
        <w:adjustRightInd/>
        <w:snapToGrid/>
        <w:ind w:firstLine="643" w:firstLineChars="200"/>
        <w:jc w:val="center"/>
      </w:pPr>
      <w:r>
        <w:rPr>
          <w:rFonts w:hint="default"/>
        </w:rPr>
        <w:t>“乌鸡变凤凰”的故事在资本市场概率很小</w:t>
      </w:r>
    </w:p>
    <w:p>
      <w:pPr>
        <w:pageBreakBefore w:val="0"/>
        <w:kinsoku/>
        <w:overflowPunct/>
        <w:topLinePunct w:val="0"/>
        <w:autoSpaceDE/>
        <w:autoSpaceDN/>
        <w:bidi w:val="0"/>
        <w:adjustRightInd/>
        <w:snapToGrid/>
        <w:ind w:firstLine="560" w:firstLineChars="200"/>
        <w:jc w:val="center"/>
        <w:rPr>
          <w:rFonts w:hint="eastAsia" w:ascii="华文楷体" w:hAnsi="华文楷体" w:eastAsia="华文楷体" w:cs="华文楷体"/>
          <w:i w:val="0"/>
          <w:caps w:val="0"/>
          <w:color w:val="auto"/>
          <w:spacing w:val="0"/>
          <w:kern w:val="0"/>
          <w:sz w:val="28"/>
          <w:szCs w:val="28"/>
          <w:lang w:val="en-US" w:eastAsia="zh-CN" w:bidi="ar"/>
        </w:rPr>
      </w:pPr>
      <w:r>
        <w:rPr>
          <w:rFonts w:hint="eastAsia" w:ascii="华文楷体" w:hAnsi="华文楷体" w:eastAsia="华文楷体" w:cs="华文楷体"/>
          <w:i w:val="0"/>
          <w:caps w:val="0"/>
          <w:color w:val="auto"/>
          <w:spacing w:val="0"/>
          <w:kern w:val="0"/>
          <w:sz w:val="28"/>
          <w:szCs w:val="28"/>
          <w:lang w:val="en-US" w:eastAsia="zh-CN" w:bidi="ar"/>
        </w:rPr>
        <w:t>2019.9.30</w:t>
      </w:r>
    </w:p>
    <w:p>
      <w:pPr>
        <w:pageBreakBefore w:val="0"/>
        <w:kinsoku/>
        <w:overflowPunct/>
        <w:topLinePunct w:val="0"/>
        <w:autoSpaceDE/>
        <w:autoSpaceDN/>
        <w:bidi w:val="0"/>
        <w:adjustRightInd/>
        <w:snapToGrid/>
        <w:ind w:firstLine="560" w:firstLineChars="200"/>
        <w:rPr>
          <w:rFonts w:hint="eastAsia" w:ascii="华文楷体" w:hAnsi="华文楷体" w:eastAsia="华文楷体" w:cs="华文楷体"/>
          <w:i w:val="0"/>
          <w:caps w:val="0"/>
          <w:color w:val="auto"/>
          <w:spacing w:val="0"/>
          <w:kern w:val="0"/>
          <w:sz w:val="28"/>
          <w:szCs w:val="28"/>
          <w:lang w:val="en-US" w:eastAsia="zh-CN" w:bidi="ar"/>
        </w:rPr>
      </w:pP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rPr>
          <w:rFonts w:hint="eastAsia" w:ascii="华文楷体" w:hAnsi="华文楷体" w:eastAsia="华文楷体" w:cs="华文楷体"/>
          <w:b/>
          <w:bCs/>
          <w:i w:val="0"/>
          <w:caps w:val="0"/>
          <w:color w:val="auto"/>
          <w:spacing w:val="0"/>
          <w:sz w:val="28"/>
          <w:szCs w:val="28"/>
        </w:rPr>
      </w:pPr>
      <w:r>
        <w:rPr>
          <w:rFonts w:hint="eastAsia" w:ascii="华文楷体" w:hAnsi="华文楷体" w:eastAsia="华文楷体" w:cs="华文楷体"/>
          <w:b/>
          <w:bCs/>
          <w:i w:val="0"/>
          <w:caps w:val="0"/>
          <w:color w:val="auto"/>
          <w:spacing w:val="0"/>
          <w:kern w:val="0"/>
          <w:sz w:val="28"/>
          <w:szCs w:val="28"/>
          <w:lang w:val="en-US" w:eastAsia="zh-CN" w:bidi="ar"/>
        </w:rPr>
        <w:t>雪球：</w:t>
      </w:r>
      <w:r>
        <w:rPr>
          <w:rFonts w:hint="eastAsia" w:ascii="华文楷体" w:hAnsi="华文楷体" w:eastAsia="华文楷体" w:cs="华文楷体"/>
          <w:b/>
          <w:bCs/>
          <w:i w:val="0"/>
          <w:caps w:val="0"/>
          <w:color w:val="auto"/>
          <w:spacing w:val="0"/>
          <w:kern w:val="0"/>
          <w:sz w:val="28"/>
          <w:szCs w:val="28"/>
          <w:lang w:val="en-US" w:eastAsia="zh-CN" w:bidi="ar"/>
        </w:rPr>
        <w:fldChar w:fldCharType="begin"/>
      </w:r>
      <w:r>
        <w:rPr>
          <w:rFonts w:hint="eastAsia" w:ascii="华文楷体" w:hAnsi="华文楷体" w:eastAsia="华文楷体" w:cs="华文楷体"/>
          <w:b/>
          <w:bCs/>
          <w:i w:val="0"/>
          <w:caps w:val="0"/>
          <w:color w:val="auto"/>
          <w:spacing w:val="0"/>
          <w:kern w:val="0"/>
          <w:sz w:val="28"/>
          <w:szCs w:val="28"/>
          <w:lang w:val="en-US" w:eastAsia="zh-CN" w:bidi="ar"/>
        </w:rPr>
        <w:instrText xml:space="preserve"> HYPERLINK "https://xueqiu.com/S/F110011?from=status_stock_match" </w:instrText>
      </w:r>
      <w:r>
        <w:rPr>
          <w:rFonts w:hint="eastAsia" w:ascii="华文楷体" w:hAnsi="华文楷体" w:eastAsia="华文楷体" w:cs="华文楷体"/>
          <w:b/>
          <w:bCs/>
          <w:i w:val="0"/>
          <w:caps w:val="0"/>
          <w:color w:val="auto"/>
          <w:spacing w:val="0"/>
          <w:kern w:val="0"/>
          <w:sz w:val="28"/>
          <w:szCs w:val="28"/>
          <w:lang w:val="en-US" w:eastAsia="zh-CN" w:bidi="ar"/>
        </w:rPr>
        <w:fldChar w:fldCharType="separate"/>
      </w:r>
      <w:r>
        <w:rPr>
          <w:rFonts w:hint="eastAsia" w:ascii="华文楷体" w:hAnsi="华文楷体" w:eastAsia="华文楷体" w:cs="华文楷体"/>
          <w:b/>
          <w:bCs/>
          <w:i w:val="0"/>
          <w:caps w:val="0"/>
          <w:color w:val="auto"/>
          <w:spacing w:val="0"/>
          <w:kern w:val="0"/>
          <w:sz w:val="28"/>
          <w:szCs w:val="28"/>
          <w:lang w:val="en-US" w:eastAsia="zh-CN" w:bidi="ar"/>
        </w:rPr>
        <w:t>易方达中小盘混合</w:t>
      </w:r>
      <w:r>
        <w:rPr>
          <w:rFonts w:hint="eastAsia" w:ascii="华文楷体" w:hAnsi="华文楷体" w:eastAsia="华文楷体" w:cs="华文楷体"/>
          <w:b/>
          <w:bCs/>
          <w:i w:val="0"/>
          <w:caps w:val="0"/>
          <w:color w:val="auto"/>
          <w:spacing w:val="0"/>
          <w:kern w:val="0"/>
          <w:sz w:val="28"/>
          <w:szCs w:val="28"/>
          <w:lang w:val="en-US" w:eastAsia="zh-CN" w:bidi="ar"/>
        </w:rPr>
        <w:fldChar w:fldCharType="end"/>
      </w:r>
      <w:r>
        <w:rPr>
          <w:rFonts w:hint="eastAsia" w:ascii="华文楷体" w:hAnsi="华文楷体" w:eastAsia="华文楷体" w:cs="华文楷体"/>
          <w:b/>
          <w:bCs/>
          <w:i w:val="0"/>
          <w:caps w:val="0"/>
          <w:color w:val="auto"/>
          <w:spacing w:val="0"/>
          <w:kern w:val="0"/>
          <w:sz w:val="28"/>
          <w:szCs w:val="28"/>
          <w:lang w:val="en-US" w:eastAsia="zh-CN" w:bidi="ar"/>
        </w:rPr>
        <w:t>2019年上半年净值上涨达50.57%，居于同类产品前列。近5年收益更是高达243%</w:t>
      </w:r>
      <w:r>
        <w:rPr>
          <w:rFonts w:hint="eastAsia" w:ascii="华文楷体" w:hAnsi="华文楷体" w:eastAsia="华文楷体" w:cs="华文楷体"/>
          <w:b/>
          <w:bCs/>
          <w:i w:val="0"/>
          <w:caps w:val="0"/>
          <w:color w:val="auto"/>
          <w:spacing w:val="0"/>
          <w:sz w:val="28"/>
          <w:szCs w:val="28"/>
        </w:rPr>
        <w:t>，是所有偏股混合型基金中的第一名，请问您持续取得超额收益的原因是什么？</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张坤：从业绩归因来看，基金持续超额收益主要来源于个股选择，即发掘高质量成长公司并长期坚定持有。</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首先，中国资本市场上有一批基于竞争力、护城河和商业模式等基本面质地优异的企业，它们能持续创造大量自由现金流并且保持较高的资本回报率，例如</w:t>
      </w:r>
      <w:r>
        <w:rPr>
          <w:rFonts w:hint="eastAsia" w:ascii="华文楷体" w:hAnsi="华文楷体" w:eastAsia="华文楷体" w:cs="华文楷体"/>
          <w:i w:val="0"/>
          <w:caps w:val="0"/>
          <w:color w:val="auto"/>
          <w:spacing w:val="0"/>
          <w:sz w:val="28"/>
          <w:szCs w:val="28"/>
          <w:u w:val="none"/>
        </w:rPr>
        <w:fldChar w:fldCharType="begin"/>
      </w:r>
      <w:r>
        <w:rPr>
          <w:rFonts w:hint="eastAsia" w:ascii="华文楷体" w:hAnsi="华文楷体" w:eastAsia="华文楷体" w:cs="华文楷体"/>
          <w:i w:val="0"/>
          <w:caps w:val="0"/>
          <w:color w:val="auto"/>
          <w:spacing w:val="0"/>
          <w:sz w:val="28"/>
          <w:szCs w:val="28"/>
          <w:u w:val="none"/>
        </w:rPr>
        <w:instrText xml:space="preserve"> HYPERLINK "https://xueqiu.com/S/SH600519?from=status_stock_match" </w:instrText>
      </w:r>
      <w:r>
        <w:rPr>
          <w:rFonts w:hint="eastAsia" w:ascii="华文楷体" w:hAnsi="华文楷体" w:eastAsia="华文楷体" w:cs="华文楷体"/>
          <w:i w:val="0"/>
          <w:caps w:val="0"/>
          <w:color w:val="auto"/>
          <w:spacing w:val="0"/>
          <w:sz w:val="28"/>
          <w:szCs w:val="28"/>
          <w:u w:val="none"/>
        </w:rPr>
        <w:fldChar w:fldCharType="separate"/>
      </w:r>
      <w:r>
        <w:rPr>
          <w:rStyle w:val="13"/>
          <w:rFonts w:hint="eastAsia" w:ascii="华文楷体" w:hAnsi="华文楷体" w:eastAsia="华文楷体" w:cs="华文楷体"/>
          <w:i w:val="0"/>
          <w:caps w:val="0"/>
          <w:color w:val="auto"/>
          <w:spacing w:val="0"/>
          <w:sz w:val="28"/>
          <w:szCs w:val="28"/>
          <w:u w:val="none"/>
        </w:rPr>
        <w:t>贵州茅台</w:t>
      </w:r>
      <w:r>
        <w:rPr>
          <w:rFonts w:hint="eastAsia" w:ascii="华文楷体" w:hAnsi="华文楷体" w:eastAsia="华文楷体" w:cs="华文楷体"/>
          <w:i w:val="0"/>
          <w:caps w:val="0"/>
          <w:color w:val="auto"/>
          <w:spacing w:val="0"/>
          <w:sz w:val="28"/>
          <w:szCs w:val="28"/>
          <w:u w:val="none"/>
        </w:rPr>
        <w:fldChar w:fldCharType="end"/>
      </w:r>
      <w:r>
        <w:rPr>
          <w:rFonts w:hint="eastAsia" w:ascii="华文楷体" w:hAnsi="华文楷体" w:eastAsia="华文楷体" w:cs="华文楷体"/>
          <w:i w:val="0"/>
          <w:caps w:val="0"/>
          <w:color w:val="auto"/>
          <w:spacing w:val="0"/>
          <w:sz w:val="28"/>
          <w:szCs w:val="28"/>
        </w:rPr>
        <w:t>、</w:t>
      </w:r>
      <w:r>
        <w:rPr>
          <w:rFonts w:hint="eastAsia" w:ascii="华文楷体" w:hAnsi="华文楷体" w:eastAsia="华文楷体" w:cs="华文楷体"/>
          <w:i w:val="0"/>
          <w:caps w:val="0"/>
          <w:color w:val="auto"/>
          <w:spacing w:val="0"/>
          <w:sz w:val="28"/>
          <w:szCs w:val="28"/>
          <w:u w:val="none"/>
        </w:rPr>
        <w:fldChar w:fldCharType="begin"/>
      </w:r>
      <w:r>
        <w:rPr>
          <w:rFonts w:hint="eastAsia" w:ascii="华文楷体" w:hAnsi="华文楷体" w:eastAsia="华文楷体" w:cs="华文楷体"/>
          <w:i w:val="0"/>
          <w:caps w:val="0"/>
          <w:color w:val="auto"/>
          <w:spacing w:val="0"/>
          <w:sz w:val="28"/>
          <w:szCs w:val="28"/>
          <w:u w:val="none"/>
        </w:rPr>
        <w:instrText xml:space="preserve"> HYPERLINK "https://xueqiu.com/S/SH600009?from=status_stock_match" </w:instrText>
      </w:r>
      <w:r>
        <w:rPr>
          <w:rFonts w:hint="eastAsia" w:ascii="华文楷体" w:hAnsi="华文楷体" w:eastAsia="华文楷体" w:cs="华文楷体"/>
          <w:i w:val="0"/>
          <w:caps w:val="0"/>
          <w:color w:val="auto"/>
          <w:spacing w:val="0"/>
          <w:sz w:val="28"/>
          <w:szCs w:val="28"/>
          <w:u w:val="none"/>
        </w:rPr>
        <w:fldChar w:fldCharType="separate"/>
      </w:r>
      <w:r>
        <w:rPr>
          <w:rStyle w:val="13"/>
          <w:rFonts w:hint="eastAsia" w:ascii="华文楷体" w:hAnsi="华文楷体" w:eastAsia="华文楷体" w:cs="华文楷体"/>
          <w:i w:val="0"/>
          <w:caps w:val="0"/>
          <w:color w:val="auto"/>
          <w:spacing w:val="0"/>
          <w:sz w:val="28"/>
          <w:szCs w:val="28"/>
          <w:u w:val="none"/>
        </w:rPr>
        <w:t>上海机场</w:t>
      </w:r>
      <w:r>
        <w:rPr>
          <w:rFonts w:hint="eastAsia" w:ascii="华文楷体" w:hAnsi="华文楷体" w:eastAsia="华文楷体" w:cs="华文楷体"/>
          <w:i w:val="0"/>
          <w:caps w:val="0"/>
          <w:color w:val="auto"/>
          <w:spacing w:val="0"/>
          <w:sz w:val="28"/>
          <w:szCs w:val="28"/>
          <w:u w:val="none"/>
        </w:rPr>
        <w:fldChar w:fldCharType="end"/>
      </w:r>
      <w:r>
        <w:rPr>
          <w:rFonts w:hint="eastAsia" w:ascii="华文楷体" w:hAnsi="华文楷体" w:eastAsia="华文楷体" w:cs="华文楷体"/>
          <w:i w:val="0"/>
          <w:caps w:val="0"/>
          <w:color w:val="auto"/>
          <w:spacing w:val="0"/>
          <w:sz w:val="28"/>
          <w:szCs w:val="28"/>
        </w:rPr>
        <w:t>、</w:t>
      </w:r>
      <w:r>
        <w:rPr>
          <w:rFonts w:hint="eastAsia" w:ascii="华文楷体" w:hAnsi="华文楷体" w:eastAsia="华文楷体" w:cs="华文楷体"/>
          <w:i w:val="0"/>
          <w:caps w:val="0"/>
          <w:color w:val="auto"/>
          <w:spacing w:val="0"/>
          <w:sz w:val="28"/>
          <w:szCs w:val="28"/>
          <w:u w:val="none"/>
        </w:rPr>
        <w:fldChar w:fldCharType="begin"/>
      </w:r>
      <w:r>
        <w:rPr>
          <w:rFonts w:hint="eastAsia" w:ascii="华文楷体" w:hAnsi="华文楷体" w:eastAsia="华文楷体" w:cs="华文楷体"/>
          <w:i w:val="0"/>
          <w:caps w:val="0"/>
          <w:color w:val="auto"/>
          <w:spacing w:val="0"/>
          <w:sz w:val="28"/>
          <w:szCs w:val="28"/>
          <w:u w:val="none"/>
        </w:rPr>
        <w:instrText xml:space="preserve"> HYPERLINK "https://xueqiu.com/S/SZ300015?from=status_stock_match" </w:instrText>
      </w:r>
      <w:r>
        <w:rPr>
          <w:rFonts w:hint="eastAsia" w:ascii="华文楷体" w:hAnsi="华文楷体" w:eastAsia="华文楷体" w:cs="华文楷体"/>
          <w:i w:val="0"/>
          <w:caps w:val="0"/>
          <w:color w:val="auto"/>
          <w:spacing w:val="0"/>
          <w:sz w:val="28"/>
          <w:szCs w:val="28"/>
          <w:u w:val="none"/>
        </w:rPr>
        <w:fldChar w:fldCharType="separate"/>
      </w:r>
      <w:r>
        <w:rPr>
          <w:rStyle w:val="13"/>
          <w:rFonts w:hint="eastAsia" w:ascii="华文楷体" w:hAnsi="华文楷体" w:eastAsia="华文楷体" w:cs="华文楷体"/>
          <w:i w:val="0"/>
          <w:caps w:val="0"/>
          <w:color w:val="auto"/>
          <w:spacing w:val="0"/>
          <w:sz w:val="28"/>
          <w:szCs w:val="28"/>
          <w:u w:val="none"/>
        </w:rPr>
        <w:t>爱尔眼科</w:t>
      </w:r>
      <w:r>
        <w:rPr>
          <w:rFonts w:hint="eastAsia" w:ascii="华文楷体" w:hAnsi="华文楷体" w:eastAsia="华文楷体" w:cs="华文楷体"/>
          <w:i w:val="0"/>
          <w:caps w:val="0"/>
          <w:color w:val="auto"/>
          <w:spacing w:val="0"/>
          <w:sz w:val="28"/>
          <w:szCs w:val="28"/>
          <w:u w:val="none"/>
        </w:rPr>
        <w:fldChar w:fldCharType="end"/>
      </w:r>
      <w:r>
        <w:rPr>
          <w:rFonts w:hint="eastAsia" w:ascii="华文楷体" w:hAnsi="华文楷体" w:eastAsia="华文楷体" w:cs="华文楷体"/>
          <w:i w:val="0"/>
          <w:caps w:val="0"/>
          <w:color w:val="auto"/>
          <w:spacing w:val="0"/>
          <w:sz w:val="28"/>
          <w:szCs w:val="28"/>
        </w:rPr>
        <w:t>等。</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我很有幸能选出这批优质企业中的一些，并通过长期持股的方式陪伴它们成长，从而分享到这些优秀企业成长的回报。另外一方面，过程中也有选错过企业，但及时调整，没有亏很多钱。所以从长期回报的结果来看，基金取得了比较显著的持续超额收益。</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rPr>
          <w:rFonts w:hint="eastAsia" w:ascii="华文楷体" w:hAnsi="华文楷体" w:eastAsia="华文楷体" w:cs="华文楷体"/>
          <w:b/>
          <w:bCs/>
          <w:i w:val="0"/>
          <w:caps w:val="0"/>
          <w:color w:val="auto"/>
          <w:spacing w:val="0"/>
          <w:sz w:val="28"/>
          <w:szCs w:val="28"/>
        </w:rPr>
      </w:pPr>
      <w:r>
        <w:rPr>
          <w:rFonts w:hint="eastAsia" w:ascii="华文楷体" w:hAnsi="华文楷体" w:eastAsia="华文楷体" w:cs="华文楷体"/>
          <w:b/>
          <w:bCs/>
          <w:i w:val="0"/>
          <w:caps w:val="0"/>
          <w:color w:val="auto"/>
          <w:spacing w:val="0"/>
          <w:sz w:val="28"/>
          <w:szCs w:val="28"/>
        </w:rPr>
        <w:t>雪球：您曾说会用大量时间阅读上市公司年报，并且认为阅读有时候甚至比调研更重要。您能否分享一下您是如何阅读这些年报的？阅读给了您哪些调研中无法获取的信息?</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张坤：我阅读年报的方法很简单，就是按时间顺序一年一年往下读，每一份都从头到尾细细读。</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很重视年报阅读的原因是，年报是刻画一个企业经营全景最好的资料，通过年报能够对企业产生最贴近现实的整体印象。</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具体来说，第一，大学的校训告诉我们要“行胜于言”，如果说对企业的调研是“听其言”，看年报无疑就是“观其行”，可以很好地观察企业对历史上讲过的战略是否有切实执行、执行的实际效果如何。</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第二，按顺序读年报能最直观地感受出企业的商业模式和竞争力如何，例如最优秀的公司大多只有IPO时融资一次，此后就靠自由现金流不断滚动长大，公司有持续稳定的资产收益率和资本回报率，固定资产和运营资本占比始终保持在较低的水平。</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第三，年报能反映出很多潜在的“红灯”，即公司治理的潜在缺陷（例如关联交易的金额），企业会计政策是否激进（例如研发费用资本化），折旧政策是否符合经济特征（折旧年限是否过长，应该采用加速折旧却采用了直线折旧）。</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rPr>
          <w:rFonts w:hint="eastAsia" w:ascii="华文楷体" w:hAnsi="华文楷体" w:eastAsia="华文楷体" w:cs="华文楷体"/>
          <w:b/>
          <w:bCs/>
          <w:i w:val="0"/>
          <w:caps w:val="0"/>
          <w:color w:val="auto"/>
          <w:spacing w:val="0"/>
          <w:sz w:val="28"/>
          <w:szCs w:val="28"/>
        </w:rPr>
      </w:pPr>
      <w:r>
        <w:rPr>
          <w:rFonts w:hint="eastAsia" w:ascii="华文楷体" w:hAnsi="华文楷体" w:eastAsia="华文楷体" w:cs="华文楷体"/>
          <w:b/>
          <w:bCs/>
          <w:i w:val="0"/>
          <w:caps w:val="0"/>
          <w:color w:val="auto"/>
          <w:spacing w:val="0"/>
          <w:sz w:val="28"/>
          <w:szCs w:val="28"/>
        </w:rPr>
        <w:t>雪球：</w:t>
      </w:r>
      <w:r>
        <w:rPr>
          <w:rFonts w:hint="eastAsia" w:ascii="华文楷体" w:hAnsi="华文楷体" w:eastAsia="华文楷体" w:cs="华文楷体"/>
          <w:b/>
          <w:bCs/>
          <w:i w:val="0"/>
          <w:caps w:val="0"/>
          <w:color w:val="auto"/>
          <w:spacing w:val="0"/>
          <w:sz w:val="28"/>
          <w:szCs w:val="28"/>
          <w:u w:val="none"/>
        </w:rPr>
        <w:fldChar w:fldCharType="begin"/>
      </w:r>
      <w:r>
        <w:rPr>
          <w:rFonts w:hint="eastAsia" w:ascii="华文楷体" w:hAnsi="华文楷体" w:eastAsia="华文楷体" w:cs="华文楷体"/>
          <w:b/>
          <w:bCs/>
          <w:i w:val="0"/>
          <w:caps w:val="0"/>
          <w:color w:val="auto"/>
          <w:spacing w:val="0"/>
          <w:sz w:val="28"/>
          <w:szCs w:val="28"/>
          <w:u w:val="none"/>
        </w:rPr>
        <w:instrText xml:space="preserve"> HYPERLINK "https://xueqiu.com/S/F110011?from=status_stock_match" </w:instrText>
      </w:r>
      <w:r>
        <w:rPr>
          <w:rFonts w:hint="eastAsia" w:ascii="华文楷体" w:hAnsi="华文楷体" w:eastAsia="华文楷体" w:cs="华文楷体"/>
          <w:b/>
          <w:bCs/>
          <w:i w:val="0"/>
          <w:caps w:val="0"/>
          <w:color w:val="auto"/>
          <w:spacing w:val="0"/>
          <w:sz w:val="28"/>
          <w:szCs w:val="28"/>
          <w:u w:val="none"/>
        </w:rPr>
        <w:fldChar w:fldCharType="separate"/>
      </w:r>
      <w:r>
        <w:rPr>
          <w:rStyle w:val="13"/>
          <w:rFonts w:hint="eastAsia" w:ascii="华文楷体" w:hAnsi="华文楷体" w:eastAsia="华文楷体" w:cs="华文楷体"/>
          <w:b/>
          <w:bCs/>
          <w:i w:val="0"/>
          <w:caps w:val="0"/>
          <w:color w:val="auto"/>
          <w:spacing w:val="0"/>
          <w:sz w:val="28"/>
          <w:szCs w:val="28"/>
          <w:u w:val="none"/>
        </w:rPr>
        <w:t>易方达中小盘混合</w:t>
      </w:r>
      <w:r>
        <w:rPr>
          <w:rFonts w:hint="eastAsia" w:ascii="华文楷体" w:hAnsi="华文楷体" w:eastAsia="华文楷体" w:cs="华文楷体"/>
          <w:b/>
          <w:bCs/>
          <w:i w:val="0"/>
          <w:caps w:val="0"/>
          <w:color w:val="auto"/>
          <w:spacing w:val="0"/>
          <w:sz w:val="28"/>
          <w:szCs w:val="28"/>
          <w:u w:val="none"/>
        </w:rPr>
        <w:fldChar w:fldCharType="end"/>
      </w:r>
      <w:r>
        <w:rPr>
          <w:rFonts w:hint="eastAsia" w:ascii="华文楷体" w:hAnsi="华文楷体" w:eastAsia="华文楷体" w:cs="华文楷体"/>
          <w:b/>
          <w:bCs/>
          <w:i w:val="0"/>
          <w:caps w:val="0"/>
          <w:color w:val="auto"/>
          <w:spacing w:val="0"/>
          <w:sz w:val="28"/>
          <w:szCs w:val="28"/>
        </w:rPr>
        <w:t>，过去三年换手率年均不到100%，非常低。这表明您在持股过程中很多都是赚取公司成长的收益，而不是交易的收益。请问您是如何发现这些优秀的公司的？</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张坤：优秀的企业从来不是突然优秀的，它们往往有相当长时间的优秀历史，已经在过去的市场中证明过自已。易方达</w:t>
      </w:r>
      <w:r>
        <w:rPr>
          <w:rFonts w:hint="eastAsia" w:ascii="华文楷体" w:hAnsi="华文楷体" w:eastAsia="华文楷体" w:cs="华文楷体"/>
          <w:i w:val="0"/>
          <w:caps w:val="0"/>
          <w:color w:val="auto"/>
          <w:spacing w:val="0"/>
          <w:sz w:val="28"/>
          <w:szCs w:val="28"/>
          <w:u w:val="none"/>
        </w:rPr>
        <w:fldChar w:fldCharType="begin"/>
      </w:r>
      <w:r>
        <w:rPr>
          <w:rFonts w:hint="eastAsia" w:ascii="华文楷体" w:hAnsi="华文楷体" w:eastAsia="华文楷体" w:cs="华文楷体"/>
          <w:i w:val="0"/>
          <w:caps w:val="0"/>
          <w:color w:val="auto"/>
          <w:spacing w:val="0"/>
          <w:sz w:val="28"/>
          <w:szCs w:val="28"/>
          <w:u w:val="none"/>
        </w:rPr>
        <w:instrText xml:space="preserve"> HYPERLINK "https://xueqiu.com/S/SZ399401?from=status_stock_match" </w:instrText>
      </w:r>
      <w:r>
        <w:rPr>
          <w:rFonts w:hint="eastAsia" w:ascii="华文楷体" w:hAnsi="华文楷体" w:eastAsia="华文楷体" w:cs="华文楷体"/>
          <w:i w:val="0"/>
          <w:caps w:val="0"/>
          <w:color w:val="auto"/>
          <w:spacing w:val="0"/>
          <w:sz w:val="28"/>
          <w:szCs w:val="28"/>
          <w:u w:val="none"/>
        </w:rPr>
        <w:fldChar w:fldCharType="separate"/>
      </w:r>
      <w:r>
        <w:rPr>
          <w:rStyle w:val="13"/>
          <w:rFonts w:hint="eastAsia" w:ascii="华文楷体" w:hAnsi="华文楷体" w:eastAsia="华文楷体" w:cs="华文楷体"/>
          <w:i w:val="0"/>
          <w:caps w:val="0"/>
          <w:color w:val="auto"/>
          <w:spacing w:val="0"/>
          <w:sz w:val="28"/>
          <w:szCs w:val="28"/>
          <w:u w:val="none"/>
        </w:rPr>
        <w:t>中小盘</w:t>
      </w:r>
      <w:r>
        <w:rPr>
          <w:rFonts w:hint="eastAsia" w:ascii="华文楷体" w:hAnsi="华文楷体" w:eastAsia="华文楷体" w:cs="华文楷体"/>
          <w:i w:val="0"/>
          <w:caps w:val="0"/>
          <w:color w:val="auto"/>
          <w:spacing w:val="0"/>
          <w:sz w:val="28"/>
          <w:szCs w:val="28"/>
          <w:u w:val="none"/>
        </w:rPr>
        <w:fldChar w:fldCharType="end"/>
      </w:r>
      <w:r>
        <w:rPr>
          <w:rFonts w:hint="eastAsia" w:ascii="华文楷体" w:hAnsi="华文楷体" w:eastAsia="华文楷体" w:cs="华文楷体"/>
          <w:i w:val="0"/>
          <w:caps w:val="0"/>
          <w:color w:val="auto"/>
          <w:spacing w:val="0"/>
          <w:sz w:val="28"/>
          <w:szCs w:val="28"/>
        </w:rPr>
        <w:t>持仓的企业平均有超过15年上市历史，有大量历史数据可供观察回溯。“乌鸡变凤凰”的故事在资本市场中可能存在、但概率很小，与已经在市场中证明过自已的优秀公司相比，是缺乏吸引力的。</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具体的选股方法是，首先，筛选出历史上自由现金流强劲、ROIC持续稳定、有息负债率低、没有反复股权融资历史的企业，这一步做完之后大约有200-300家左右的企业。</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rPr>
          <w:rFonts w:hint="eastAsia" w:ascii="华文楷体" w:hAnsi="华文楷体" w:eastAsia="华文楷体" w:cs="华文楷体"/>
          <w:b w:val="0"/>
          <w:bCs w:val="0"/>
          <w:i w:val="0"/>
          <w:caps w:val="0"/>
          <w:color w:val="auto"/>
          <w:spacing w:val="0"/>
          <w:sz w:val="28"/>
          <w:szCs w:val="28"/>
        </w:rPr>
      </w:pPr>
      <w:r>
        <w:rPr>
          <w:rFonts w:hint="eastAsia" w:ascii="华文楷体" w:hAnsi="华文楷体" w:eastAsia="华文楷体" w:cs="华文楷体"/>
          <w:b/>
          <w:bCs/>
          <w:i w:val="0"/>
          <w:caps w:val="0"/>
          <w:color w:val="auto"/>
          <w:spacing w:val="0"/>
          <w:sz w:val="28"/>
          <w:szCs w:val="28"/>
        </w:rPr>
        <w:t>其次，阅读每个企业从上市以来的所有年报，剔除掉壁垒正在丧失、竞争力在削弱的企业，留下的企业都在持续观察的名单中。之后，会在这批企业遇到短期困难而不影响长期竞争力时果断介入，</w:t>
      </w:r>
      <w:r>
        <w:rPr>
          <w:rFonts w:hint="eastAsia" w:ascii="华文楷体" w:hAnsi="华文楷体" w:eastAsia="华文楷体" w:cs="华文楷体"/>
          <w:b w:val="0"/>
          <w:bCs w:val="0"/>
          <w:i w:val="0"/>
          <w:caps w:val="0"/>
          <w:color w:val="auto"/>
          <w:spacing w:val="0"/>
          <w:sz w:val="28"/>
          <w:szCs w:val="28"/>
        </w:rPr>
        <w:t>例如</w:t>
      </w:r>
      <w:bookmarkStart w:id="14" w:name="_GoBack"/>
      <w:bookmarkEnd w:id="14"/>
      <w:r>
        <w:rPr>
          <w:rFonts w:hint="eastAsia" w:ascii="华文楷体" w:hAnsi="华文楷体" w:eastAsia="华文楷体" w:cs="华文楷体"/>
          <w:b w:val="0"/>
          <w:bCs w:val="0"/>
          <w:i w:val="0"/>
          <w:caps w:val="0"/>
          <w:color w:val="auto"/>
          <w:spacing w:val="0"/>
          <w:sz w:val="28"/>
          <w:szCs w:val="28"/>
        </w:rPr>
        <w:t>2013年茅台遇到三公消费困境时，2017年华兰生物遭遇渠道去库存困境时，2019年</w:t>
      </w:r>
      <w:r>
        <w:rPr>
          <w:rFonts w:hint="eastAsia" w:ascii="华文楷体" w:hAnsi="华文楷体" w:eastAsia="华文楷体" w:cs="华文楷体"/>
          <w:b w:val="0"/>
          <w:bCs w:val="0"/>
          <w:i w:val="0"/>
          <w:caps w:val="0"/>
          <w:color w:val="auto"/>
          <w:spacing w:val="0"/>
          <w:sz w:val="28"/>
          <w:szCs w:val="28"/>
          <w:u w:val="none"/>
        </w:rPr>
        <w:fldChar w:fldCharType="begin"/>
      </w:r>
      <w:r>
        <w:rPr>
          <w:rFonts w:hint="eastAsia" w:ascii="华文楷体" w:hAnsi="华文楷体" w:eastAsia="华文楷体" w:cs="华文楷体"/>
          <w:b w:val="0"/>
          <w:bCs w:val="0"/>
          <w:i w:val="0"/>
          <w:caps w:val="0"/>
          <w:color w:val="auto"/>
          <w:spacing w:val="0"/>
          <w:sz w:val="28"/>
          <w:szCs w:val="28"/>
          <w:u w:val="none"/>
        </w:rPr>
        <w:instrText xml:space="preserve"> HYPERLINK "https://xueqiu.com/S/SH600004?from=status_stock_match" </w:instrText>
      </w:r>
      <w:r>
        <w:rPr>
          <w:rFonts w:hint="eastAsia" w:ascii="华文楷体" w:hAnsi="华文楷体" w:eastAsia="华文楷体" w:cs="华文楷体"/>
          <w:b w:val="0"/>
          <w:bCs w:val="0"/>
          <w:i w:val="0"/>
          <w:caps w:val="0"/>
          <w:color w:val="auto"/>
          <w:spacing w:val="0"/>
          <w:sz w:val="28"/>
          <w:szCs w:val="28"/>
          <w:u w:val="none"/>
        </w:rPr>
        <w:fldChar w:fldCharType="separate"/>
      </w:r>
      <w:r>
        <w:rPr>
          <w:rStyle w:val="13"/>
          <w:rFonts w:hint="eastAsia" w:ascii="华文楷体" w:hAnsi="华文楷体" w:eastAsia="华文楷体" w:cs="华文楷体"/>
          <w:b w:val="0"/>
          <w:bCs w:val="0"/>
          <w:i w:val="0"/>
          <w:caps w:val="0"/>
          <w:color w:val="auto"/>
          <w:spacing w:val="0"/>
          <w:sz w:val="28"/>
          <w:szCs w:val="28"/>
          <w:u w:val="none"/>
        </w:rPr>
        <w:t>白云机场</w:t>
      </w:r>
      <w:r>
        <w:rPr>
          <w:rFonts w:hint="eastAsia" w:ascii="华文楷体" w:hAnsi="华文楷体" w:eastAsia="华文楷体" w:cs="华文楷体"/>
          <w:b w:val="0"/>
          <w:bCs w:val="0"/>
          <w:i w:val="0"/>
          <w:caps w:val="0"/>
          <w:color w:val="auto"/>
          <w:spacing w:val="0"/>
          <w:sz w:val="28"/>
          <w:szCs w:val="28"/>
          <w:u w:val="none"/>
        </w:rPr>
        <w:fldChar w:fldCharType="end"/>
      </w:r>
      <w:r>
        <w:rPr>
          <w:rFonts w:hint="eastAsia" w:ascii="华文楷体" w:hAnsi="华文楷体" w:eastAsia="华文楷体" w:cs="华文楷体"/>
          <w:b w:val="0"/>
          <w:bCs w:val="0"/>
          <w:i w:val="0"/>
          <w:caps w:val="0"/>
          <w:color w:val="auto"/>
          <w:spacing w:val="0"/>
          <w:sz w:val="28"/>
          <w:szCs w:val="28"/>
        </w:rPr>
        <w:t>遭遇前一年机场建设费取消困境时。</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rPr>
          <w:rFonts w:hint="eastAsia" w:ascii="华文楷体" w:hAnsi="华文楷体" w:eastAsia="华文楷体" w:cs="华文楷体"/>
          <w:b/>
          <w:bCs/>
          <w:i w:val="0"/>
          <w:caps w:val="0"/>
          <w:color w:val="auto"/>
          <w:spacing w:val="0"/>
          <w:sz w:val="28"/>
          <w:szCs w:val="28"/>
        </w:rPr>
      </w:pPr>
      <w:r>
        <w:rPr>
          <w:rFonts w:hint="eastAsia" w:ascii="华文楷体" w:hAnsi="华文楷体" w:eastAsia="华文楷体" w:cs="华文楷体"/>
          <w:b/>
          <w:bCs/>
          <w:i w:val="0"/>
          <w:caps w:val="0"/>
          <w:color w:val="auto"/>
          <w:spacing w:val="0"/>
          <w:sz w:val="28"/>
          <w:szCs w:val="28"/>
        </w:rPr>
        <w:t>雪球：您分享过很多买入和持有好公司的逻辑，能否分享一下您卖出一家公司的逻辑？</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张坤：卖出一家公司最主要的原因还是基本面的变化，比如最初对企业的竞争力评估出现了偏差需要修正，或者随着时间的推移企业竞争力发生了减弱。</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rPr>
          <w:rFonts w:hint="eastAsia" w:ascii="华文楷体" w:hAnsi="华文楷体" w:eastAsia="华文楷体" w:cs="华文楷体"/>
          <w:b/>
          <w:bCs/>
          <w:i w:val="0"/>
          <w:caps w:val="0"/>
          <w:color w:val="auto"/>
          <w:spacing w:val="0"/>
          <w:sz w:val="28"/>
          <w:szCs w:val="28"/>
        </w:rPr>
      </w:pPr>
      <w:r>
        <w:rPr>
          <w:rFonts w:hint="eastAsia" w:ascii="华文楷体" w:hAnsi="华文楷体" w:eastAsia="华文楷体" w:cs="华文楷体"/>
          <w:b/>
          <w:bCs/>
          <w:i w:val="0"/>
          <w:caps w:val="0"/>
          <w:color w:val="auto"/>
          <w:spacing w:val="0"/>
          <w:sz w:val="28"/>
          <w:szCs w:val="28"/>
        </w:rPr>
        <w:t>雪球：</w:t>
      </w:r>
      <w:r>
        <w:rPr>
          <w:rFonts w:hint="eastAsia" w:ascii="华文楷体" w:hAnsi="华文楷体" w:eastAsia="华文楷体" w:cs="华文楷体"/>
          <w:b/>
          <w:bCs/>
          <w:i w:val="0"/>
          <w:caps w:val="0"/>
          <w:color w:val="auto"/>
          <w:spacing w:val="0"/>
          <w:sz w:val="28"/>
          <w:szCs w:val="28"/>
          <w:u w:val="none"/>
        </w:rPr>
        <w:fldChar w:fldCharType="begin"/>
      </w:r>
      <w:r>
        <w:rPr>
          <w:rFonts w:hint="eastAsia" w:ascii="华文楷体" w:hAnsi="华文楷体" w:eastAsia="华文楷体" w:cs="华文楷体"/>
          <w:b/>
          <w:bCs/>
          <w:i w:val="0"/>
          <w:caps w:val="0"/>
          <w:color w:val="auto"/>
          <w:spacing w:val="0"/>
          <w:sz w:val="28"/>
          <w:szCs w:val="28"/>
          <w:u w:val="none"/>
        </w:rPr>
        <w:instrText xml:space="preserve"> HYPERLINK "https://xueqiu.com/S/F110011?from=status_stock_match" </w:instrText>
      </w:r>
      <w:r>
        <w:rPr>
          <w:rFonts w:hint="eastAsia" w:ascii="华文楷体" w:hAnsi="华文楷体" w:eastAsia="华文楷体" w:cs="华文楷体"/>
          <w:b/>
          <w:bCs/>
          <w:i w:val="0"/>
          <w:caps w:val="0"/>
          <w:color w:val="auto"/>
          <w:spacing w:val="0"/>
          <w:sz w:val="28"/>
          <w:szCs w:val="28"/>
          <w:u w:val="none"/>
        </w:rPr>
        <w:fldChar w:fldCharType="separate"/>
      </w:r>
      <w:r>
        <w:rPr>
          <w:rStyle w:val="13"/>
          <w:rFonts w:hint="eastAsia" w:ascii="华文楷体" w:hAnsi="华文楷体" w:eastAsia="华文楷体" w:cs="华文楷体"/>
          <w:b/>
          <w:bCs/>
          <w:i w:val="0"/>
          <w:caps w:val="0"/>
          <w:color w:val="auto"/>
          <w:spacing w:val="0"/>
          <w:sz w:val="28"/>
          <w:szCs w:val="28"/>
          <w:u w:val="none"/>
        </w:rPr>
        <w:t>易方达中小盘混合</w:t>
      </w:r>
      <w:r>
        <w:rPr>
          <w:rFonts w:hint="eastAsia" w:ascii="华文楷体" w:hAnsi="华文楷体" w:eastAsia="华文楷体" w:cs="华文楷体"/>
          <w:b/>
          <w:bCs/>
          <w:i w:val="0"/>
          <w:caps w:val="0"/>
          <w:color w:val="auto"/>
          <w:spacing w:val="0"/>
          <w:sz w:val="28"/>
          <w:szCs w:val="28"/>
          <w:u w:val="none"/>
        </w:rPr>
        <w:fldChar w:fldCharType="end"/>
      </w:r>
      <w:r>
        <w:rPr>
          <w:rFonts w:hint="eastAsia" w:ascii="华文楷体" w:hAnsi="华文楷体" w:eastAsia="华文楷体" w:cs="华文楷体"/>
          <w:b/>
          <w:bCs/>
          <w:i w:val="0"/>
          <w:caps w:val="0"/>
          <w:color w:val="auto"/>
          <w:spacing w:val="0"/>
          <w:sz w:val="28"/>
          <w:szCs w:val="28"/>
        </w:rPr>
        <w:t>回撤控制十分优秀，即便在15年股市出现大幅下跌期间，回撤也不超过30%。能否分享一下您关于回撤的看法？您是如何控制回撤的？</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张坤：首先，权益资产是所有资产中长期复合收益率最高的，这其中一个重要的条件就是存在波动，高收益率一定程度上是高波动的合理补偿，如果不愿意承受波动，就只能接受低收益率的固定收益类资产。</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其次，在投资中，我并没有刻意控制回撤，我不认为自己有判断大市的能力，我相信只要企业选择正确，这个企业的股价会一轮一轮不断创新高的。</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1" w:firstLineChars="200"/>
        <w:rPr>
          <w:rFonts w:hint="eastAsia" w:ascii="华文楷体" w:hAnsi="华文楷体" w:eastAsia="华文楷体" w:cs="华文楷体"/>
          <w:b/>
          <w:bCs/>
          <w:i w:val="0"/>
          <w:caps w:val="0"/>
          <w:color w:val="auto"/>
          <w:spacing w:val="0"/>
          <w:sz w:val="28"/>
          <w:szCs w:val="28"/>
        </w:rPr>
      </w:pPr>
      <w:r>
        <w:rPr>
          <w:rFonts w:hint="eastAsia" w:ascii="华文楷体" w:hAnsi="华文楷体" w:eastAsia="华文楷体" w:cs="华文楷体"/>
          <w:b/>
          <w:bCs/>
          <w:i w:val="0"/>
          <w:caps w:val="0"/>
          <w:color w:val="auto"/>
          <w:spacing w:val="0"/>
          <w:sz w:val="28"/>
          <w:szCs w:val="28"/>
        </w:rPr>
        <w:t>雪球：正值70年国庆之际，目前国内经济发展方式，也正在由以前的重数量转向重质量，各大龙头行业的头部效应明显，在这样的大环境下，您怎么看中小市盘的公司成长和投资机会?</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张坤：现在的优秀企业也是从中小市值成长起来的，不论是市值已过万亿的茅台还是千亿级的</w:t>
      </w:r>
      <w:r>
        <w:rPr>
          <w:rFonts w:hint="eastAsia" w:ascii="华文楷体" w:hAnsi="华文楷体" w:eastAsia="华文楷体" w:cs="华文楷体"/>
          <w:i w:val="0"/>
          <w:caps w:val="0"/>
          <w:color w:val="auto"/>
          <w:spacing w:val="0"/>
          <w:sz w:val="28"/>
          <w:szCs w:val="28"/>
          <w:u w:val="none"/>
        </w:rPr>
        <w:fldChar w:fldCharType="begin"/>
      </w:r>
      <w:r>
        <w:rPr>
          <w:rFonts w:hint="eastAsia" w:ascii="华文楷体" w:hAnsi="华文楷体" w:eastAsia="华文楷体" w:cs="华文楷体"/>
          <w:i w:val="0"/>
          <w:caps w:val="0"/>
          <w:color w:val="auto"/>
          <w:spacing w:val="0"/>
          <w:sz w:val="28"/>
          <w:szCs w:val="28"/>
          <w:u w:val="none"/>
        </w:rPr>
        <w:instrText xml:space="preserve"> HYPERLINK "https://xueqiu.com/S/SH600009?from=status_stock_match" </w:instrText>
      </w:r>
      <w:r>
        <w:rPr>
          <w:rFonts w:hint="eastAsia" w:ascii="华文楷体" w:hAnsi="华文楷体" w:eastAsia="华文楷体" w:cs="华文楷体"/>
          <w:i w:val="0"/>
          <w:caps w:val="0"/>
          <w:color w:val="auto"/>
          <w:spacing w:val="0"/>
          <w:sz w:val="28"/>
          <w:szCs w:val="28"/>
          <w:u w:val="none"/>
        </w:rPr>
        <w:fldChar w:fldCharType="separate"/>
      </w:r>
      <w:r>
        <w:rPr>
          <w:rStyle w:val="13"/>
          <w:rFonts w:hint="eastAsia" w:ascii="华文楷体" w:hAnsi="华文楷体" w:eastAsia="华文楷体" w:cs="华文楷体"/>
          <w:i w:val="0"/>
          <w:caps w:val="0"/>
          <w:color w:val="auto"/>
          <w:spacing w:val="0"/>
          <w:sz w:val="28"/>
          <w:szCs w:val="28"/>
          <w:u w:val="none"/>
        </w:rPr>
        <w:t>上海机场</w:t>
      </w:r>
      <w:r>
        <w:rPr>
          <w:rFonts w:hint="eastAsia" w:ascii="华文楷体" w:hAnsi="华文楷体" w:eastAsia="华文楷体" w:cs="华文楷体"/>
          <w:i w:val="0"/>
          <w:caps w:val="0"/>
          <w:color w:val="auto"/>
          <w:spacing w:val="0"/>
          <w:sz w:val="28"/>
          <w:szCs w:val="28"/>
          <w:u w:val="none"/>
        </w:rPr>
        <w:fldChar w:fldCharType="end"/>
      </w:r>
      <w:r>
        <w:rPr>
          <w:rFonts w:hint="eastAsia" w:ascii="华文楷体" w:hAnsi="华文楷体" w:eastAsia="华文楷体" w:cs="华文楷体"/>
          <w:i w:val="0"/>
          <w:caps w:val="0"/>
          <w:color w:val="auto"/>
          <w:spacing w:val="0"/>
          <w:sz w:val="28"/>
          <w:szCs w:val="28"/>
        </w:rPr>
        <w:t>、</w:t>
      </w:r>
      <w:r>
        <w:rPr>
          <w:rFonts w:hint="eastAsia" w:ascii="华文楷体" w:hAnsi="华文楷体" w:eastAsia="华文楷体" w:cs="华文楷体"/>
          <w:i w:val="0"/>
          <w:caps w:val="0"/>
          <w:color w:val="auto"/>
          <w:spacing w:val="0"/>
          <w:sz w:val="28"/>
          <w:szCs w:val="28"/>
          <w:u w:val="none"/>
        </w:rPr>
        <w:fldChar w:fldCharType="begin"/>
      </w:r>
      <w:r>
        <w:rPr>
          <w:rFonts w:hint="eastAsia" w:ascii="华文楷体" w:hAnsi="华文楷体" w:eastAsia="华文楷体" w:cs="华文楷体"/>
          <w:i w:val="0"/>
          <w:caps w:val="0"/>
          <w:color w:val="auto"/>
          <w:spacing w:val="0"/>
          <w:sz w:val="28"/>
          <w:szCs w:val="28"/>
          <w:u w:val="none"/>
        </w:rPr>
        <w:instrText xml:space="preserve"> HYPERLINK "https://xueqiu.com/S/SZ300015?from=status_stock_match" </w:instrText>
      </w:r>
      <w:r>
        <w:rPr>
          <w:rFonts w:hint="eastAsia" w:ascii="华文楷体" w:hAnsi="华文楷体" w:eastAsia="华文楷体" w:cs="华文楷体"/>
          <w:i w:val="0"/>
          <w:caps w:val="0"/>
          <w:color w:val="auto"/>
          <w:spacing w:val="0"/>
          <w:sz w:val="28"/>
          <w:szCs w:val="28"/>
          <w:u w:val="none"/>
        </w:rPr>
        <w:fldChar w:fldCharType="separate"/>
      </w:r>
      <w:r>
        <w:rPr>
          <w:rStyle w:val="13"/>
          <w:rFonts w:hint="eastAsia" w:ascii="华文楷体" w:hAnsi="华文楷体" w:eastAsia="华文楷体" w:cs="华文楷体"/>
          <w:i w:val="0"/>
          <w:caps w:val="0"/>
          <w:color w:val="auto"/>
          <w:spacing w:val="0"/>
          <w:sz w:val="28"/>
          <w:szCs w:val="28"/>
          <w:u w:val="none"/>
        </w:rPr>
        <w:t>爱尔眼科</w:t>
      </w:r>
      <w:r>
        <w:rPr>
          <w:rFonts w:hint="eastAsia" w:ascii="华文楷体" w:hAnsi="华文楷体" w:eastAsia="华文楷体" w:cs="华文楷体"/>
          <w:i w:val="0"/>
          <w:caps w:val="0"/>
          <w:color w:val="auto"/>
          <w:spacing w:val="0"/>
          <w:sz w:val="28"/>
          <w:szCs w:val="28"/>
          <w:u w:val="none"/>
        </w:rPr>
        <w:fldChar w:fldCharType="end"/>
      </w:r>
      <w:r>
        <w:rPr>
          <w:rFonts w:hint="eastAsia" w:ascii="华文楷体" w:hAnsi="华文楷体" w:eastAsia="华文楷体" w:cs="华文楷体"/>
          <w:i w:val="0"/>
          <w:caps w:val="0"/>
          <w:color w:val="auto"/>
          <w:spacing w:val="0"/>
          <w:sz w:val="28"/>
          <w:szCs w:val="28"/>
        </w:rPr>
        <w:t>等，都是从几十亿到一百多亿的市值涨到现在规模的。毫无疑问，目前中小市值的企业中也会有佼佼者成长为十年后的优秀企业。但从投资的角度看，这种能由小长大的企业在比例上无疑是很低的。</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对投资人来说，最大的困难是选对一个企业的同时要以选错多个企业为代价，可能需要忍受个别股票精彩但组合整体暗淡的情况，毕竟我们资产管理关注的是组合的收益率而不是某只个股的收益率。</w:t>
      </w:r>
    </w:p>
    <w:p>
      <w:pPr>
        <w:pStyle w:val="9"/>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right="0" w:firstLine="560" w:firstLineChars="200"/>
        <w:rPr>
          <w:rFonts w:hint="eastAsia" w:ascii="华文楷体" w:hAnsi="华文楷体" w:eastAsia="华文楷体" w:cs="华文楷体"/>
          <w:i w:val="0"/>
          <w:caps w:val="0"/>
          <w:color w:val="auto"/>
          <w:spacing w:val="0"/>
          <w:sz w:val="28"/>
          <w:szCs w:val="28"/>
        </w:rPr>
      </w:pPr>
      <w:r>
        <w:rPr>
          <w:rFonts w:hint="eastAsia" w:ascii="华文楷体" w:hAnsi="华文楷体" w:eastAsia="华文楷体" w:cs="华文楷体"/>
          <w:i w:val="0"/>
          <w:caps w:val="0"/>
          <w:color w:val="auto"/>
          <w:spacing w:val="0"/>
          <w:sz w:val="28"/>
          <w:szCs w:val="28"/>
        </w:rPr>
        <w:t>具体到公司特征上，这种“未来之星”往往生意模式独特，并非和现有成功的企业以同样的模式竞争，并且在企业的很早期就展现出了远超同行的竞争力。</w:t>
      </w:r>
    </w:p>
    <w:p>
      <w:pPr>
        <w:pageBreakBefore w:val="0"/>
        <w:kinsoku/>
        <w:overflowPunct/>
        <w:topLinePunct w:val="0"/>
        <w:autoSpaceDE/>
        <w:autoSpaceDN/>
        <w:bidi w:val="0"/>
        <w:adjustRightInd/>
        <w:snapToGrid/>
        <w:ind w:firstLine="420" w:firstLineChars="200"/>
        <w:rPr>
          <w:rFonts w:hint="eastAsia"/>
          <w:lang w:val="en-US" w:eastAsia="zh-CN"/>
        </w:rPr>
      </w:pPr>
    </w:p>
    <w:p>
      <w:pPr>
        <w:rPr>
          <w:rFonts w:hint="eastAsia"/>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sz w:val="21"/>
        <w:szCs w:val="21"/>
      </w:rPr>
    </w:pPr>
    <w:r>
      <w:rPr>
        <w:rFonts w:hint="eastAsia"/>
        <w:sz w:val="21"/>
        <w:szCs w:val="21"/>
        <w:lang w:eastAsia="zh-CN"/>
      </w:rPr>
      <w:t>整理人</w:t>
    </w:r>
    <w:r>
      <w:rPr>
        <w:rFonts w:hint="eastAsia"/>
        <w:sz w:val="21"/>
        <w:szCs w:val="21"/>
      </w:rPr>
      <w:t>@零城逆影（微信订阅号：lcnylc）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DD20CE"/>
    <w:rsid w:val="1C325D62"/>
    <w:rsid w:val="1F570465"/>
    <w:rsid w:val="22091F41"/>
    <w:rsid w:val="252E6557"/>
    <w:rsid w:val="26177E1E"/>
    <w:rsid w:val="29806F51"/>
    <w:rsid w:val="33883EB3"/>
    <w:rsid w:val="38A27745"/>
    <w:rsid w:val="39F228D5"/>
    <w:rsid w:val="41FB4399"/>
    <w:rsid w:val="48AB7447"/>
    <w:rsid w:val="4C0B0FB6"/>
    <w:rsid w:val="671831C3"/>
    <w:rsid w:val="6FFC3E8D"/>
    <w:rsid w:val="7981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2"/>
    <w:basedOn w:val="1"/>
    <w:next w:val="1"/>
    <w:uiPriority w:val="0"/>
    <w:pPr>
      <w:ind w:left="420" w:leftChars="200"/>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pc</cp:lastModifiedBy>
  <dcterms:modified xsi:type="dcterms:W3CDTF">2019-11-01T08:03:33Z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