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Manuscript title:</w:t>
      </w:r>
    </w:p>
    <w:p>
      <w:pPr>
        <w:pStyle w:val="BodyText"/>
      </w:pPr>
      <w:r>
        <w:t xml:space="preserve">Anchoring Large Language Models to Empirical Behavioral Evidence: A Hybrid Approach for Vaccination Uptake Simulation</w:t>
      </w:r>
    </w:p>
    <w:p>
      <w:pPr>
        <w:pStyle w:val="BodyText"/>
      </w:pPr>
      <w:r>
        <w:rPr>
          <w:b/>
          <w:bCs/>
        </w:rPr>
        <w:t xml:space="preserve">Table of contents summary:</w:t>
      </w:r>
    </w:p>
    <w:p>
      <w:pPr>
        <w:pStyle w:val="BodyText"/>
      </w:pPr>
      <w:r>
        <w:t xml:space="preserve">A hybrid approach anchoring LLM-generated probabilities to a DCE-derived empirical frontier improves behavioral consistency without model retraining.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2026-08-26T22:23:19Z</dcterms:created>
  <dcterms:modified xsi:type="dcterms:W3CDTF">2026-08-26T22:23:19Z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