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Cost-Effectiveness of Intismeran Autogene Plus Pembrolizumab</w:t>
        <w:br/>
        <w:t>Versus Pembrolizumab Alone as Adjuvant Therapy</w:t>
        <w:br/>
        <w:t>for Resected Stage IIB-IV Melanoma</w:t>
      </w:r>
    </w:p>
    <w:p/>
    <w:p>
      <w:pPr>
        <w:jc w:val="center"/>
      </w:pPr>
      <w:r>
        <w:rPr>
          <w:sz w:val="24"/>
        </w:rPr>
        <w:t>Yichao Jin</w:t>
      </w:r>
    </w:p>
    <w:p>
      <w:pPr>
        <w:jc w:val="center"/>
      </w:pPr>
      <w:r>
        <w:rPr>
          <w:i/>
          <w:sz w:val="20"/>
        </w:rPr>
        <w:t>University of Texas at Dallas, School of Economic, Political and Policy Sciences</w:t>
      </w:r>
    </w:p>
    <w:p/>
    <w:p>
      <w:pPr>
        <w:jc w:val="center"/>
      </w:pPr>
      <w:r>
        <w:rPr>
          <w:sz w:val="20"/>
        </w:rPr>
        <w:t>Corresponding Author: Yichao Jin</w:t>
      </w:r>
    </w:p>
    <w:p>
      <w:pPr>
        <w:jc w:val="center"/>
      </w:pPr>
      <w:r>
        <w:rPr>
          <w:sz w:val="20"/>
        </w:rPr>
        <w:t>Email: Yichao.Jin@UTDallas.edu</w:t>
      </w:r>
    </w:p>
    <w:p>
      <w:r>
        <w:br w:type="page"/>
      </w:r>
    </w:p>
    <w:p>
      <w:pPr>
        <w:pStyle w:val="Heading1"/>
      </w:pPr>
      <w:r>
        <w:t>Key Points for Decision Makers</w:t>
      </w:r>
    </w:p>
    <w:p>
      <w:pPr>
        <w:pStyle w:val="ListBullet"/>
        <w:spacing w:after="120"/>
      </w:pPr>
      <w:r>
        <w:t>Intismeran autogene (mRNA-4157) plus pembrolizumab provides substantial QALY gains (5.83) compared with pembrolizumab alone in adjuvant melanoma.</w:t>
      </w:r>
    </w:p>
    <w:p>
      <w:pPr>
        <w:pStyle w:val="ListBullet"/>
        <w:spacing w:after="120"/>
      </w:pPr>
      <w:r>
        <w:t>At the estimated price of $200,000 per course for intismeran, the ICER is $164,630/QALY, slightly above the commonly cited $150,000/QALY threshold.</w:t>
      </w:r>
    </w:p>
    <w:p>
      <w:pPr>
        <w:pStyle w:val="ListBullet"/>
        <w:spacing w:after="120"/>
      </w:pPr>
      <w:r>
        <w:t>The cost-effectiveness of the combination is most sensitive to the 5-year RFS of the combination arm and the monthly cost of metastatic disease care.</w:t>
      </w:r>
    </w:p>
    <w:p>
      <w:pPr>
        <w:pStyle w:val="ListBullet"/>
        <w:spacing w:after="120"/>
      </w:pPr>
      <w:r>
        <w:t>Price reductions to approximately $150,000 per course would bring the ICER below $150,000/QALY, supporting value-based pricing negotiations.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Methods: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Results: </w:t>
      </w:r>
      <w:r>
        <w:rPr>
          <w:i/>
          <w:color w:val="969696"/>
        </w:rPr>
        <w:t>[TBD — 150-250 words, structured abstract]</w:t>
      </w:r>
    </w:p>
    <w:p/>
    <w:p>
      <w:r>
        <w:rPr>
          <w:b/>
        </w:rPr>
        <w:t xml:space="preserve">Conclusions: </w:t>
      </w:r>
      <w:r>
        <w:rPr>
          <w:i/>
          <w:color w:val="969696"/>
        </w:rPr>
        <w:t>[TBD — 150-250 words, structured abstract]</w:t>
      </w:r>
    </w:p>
    <w:p/>
    <w:p>
      <w:r>
        <w:br w:type="page"/>
      </w:r>
    </w:p>
    <w:p>
      <w:pPr>
        <w:pStyle w:val="Heading1"/>
      </w:pPr>
      <w:r>
        <w:t>1 Introduction</w:t>
      </w:r>
    </w:p>
    <w:p>
      <w:r>
        <w:rPr>
          <w:i/>
          <w:color w:val="969696"/>
        </w:rPr>
        <w:t>[Full text from manuscript.md Introduction section — currently ~650 words]</w:t>
      </w:r>
    </w:p>
    <w:p>
      <w:pPr>
        <w:pStyle w:val="Heading1"/>
      </w:pPr>
      <w:r>
        <w:t>2 Methods</w:t>
      </w:r>
    </w:p>
    <w:p>
      <w:pPr>
        <w:pStyle w:val="Heading2"/>
      </w:pPr>
      <w:r>
        <w:t>2.1 Model Structure</w:t>
      </w:r>
    </w:p>
    <w:p>
      <w:r>
        <w:rPr>
          <w:i/>
          <w:color w:val="969696"/>
        </w:rPr>
        <w:t>[PSM description — 3 states: DFS, DM, Death. Weibull extrapolation from KEYNOTE-942 5-year data. 40-year horizon, 1-month cycles, 3% discounting.]</w:t>
      </w:r>
    </w:p>
    <w:p>
      <w:pPr>
        <w:pStyle w:val="Heading2"/>
      </w:pPr>
      <w:r>
        <w:t>2.2 Clinical Data</w:t>
      </w:r>
    </w:p>
    <w:p>
      <w:r>
        <w:rPr>
          <w:i/>
          <w:color w:val="969696"/>
        </w:rPr>
        <w:t>[KEYNOTE-942 5-year follow-up: RFS HR 0.510, DMFS HR 0.411, OS HR 0.471. Weibull fitted to 5-year survival rates: RFS 68.8% vs 49.1%, OS 92.2% vs 71.3%.]</w:t>
      </w:r>
    </w:p>
    <w:p>
      <w:pPr>
        <w:pStyle w:val="Heading2"/>
      </w:pPr>
      <w:r>
        <w:t>2.3 Costs and Utilities</w:t>
      </w:r>
    </w:p>
    <w:p>
      <w:r>
        <w:rPr>
          <w:i/>
          <w:color w:val="969696"/>
        </w:rPr>
        <w:t>[Keytruda $24,544/q6w (WAC). Intismeran $200,000/course (Jefferies). Sequencing $1,000. Admin $500/cycle. AE $15,000. Metastatic ~$12,000/month. Utilities: DFS 0.83, DM 0.65 (Bensimon 2019).]</w:t>
      </w:r>
    </w:p>
    <w:p>
      <w:pPr>
        <w:pStyle w:val="Heading2"/>
      </w:pPr>
      <w:r>
        <w:t>2.4 Sensitivity Analysis</w:t>
      </w:r>
    </w:p>
    <w:p>
      <w:r>
        <w:rPr>
          <w:i/>
          <w:color w:val="969696"/>
        </w:rPr>
        <w:t>[PSA: 1,000 iterations, gamma for costs, beta for utilities, multivariate normal for survival. DSA: tornado diagram. Scenario analysis: price levels, discount rates, alternative distributions.]</w:t>
      </w:r>
    </w:p>
    <w:p>
      <w:pPr>
        <w:pStyle w:val="Heading1"/>
      </w:pPr>
      <w:r>
        <w:t>3 Results</w:t>
      </w:r>
    </w:p>
    <w:p>
      <w:pPr>
        <w:pStyle w:val="Heading2"/>
      </w:pPr>
      <w:r>
        <w:t>3.1 Base Case</w:t>
      </w:r>
    </w:p>
    <w:p>
      <w:r>
        <w:rPr>
          <w:i/>
          <w:color w:val="969696"/>
        </w:rPr>
        <w:t>[ICER $164,630/QALY. Combo: 12.54 QALYs, $1,821,435. Pembro: 6.72 QALYs, $862,286. Incremental: 5.83 QALYs, $959,150.]</w:t>
      </w:r>
    </w:p>
    <w:p>
      <w:pPr>
        <w:pStyle w:val="Heading2"/>
      </w:pPr>
      <w:r>
        <w:t>3.2 Sensitivity Analysis</w:t>
      </w:r>
    </w:p>
    <w:p>
      <w:r>
        <w:rPr>
          <w:i/>
          <w:color w:val="969696"/>
        </w:rPr>
        <w:t>[PSA: mean $165,409, 95% CI $114,383-$224,333. P(CE @ $150K)=29.5%. Tornado: 5yr RFS combo most sensitive. Keytruda price insensitive (cancels in incremental).]</w:t>
      </w:r>
    </w:p>
    <w:p>
      <w:pPr>
        <w:pStyle w:val="Heading1"/>
      </w:pPr>
      <w:r>
        <w:t>4 Discussion</w:t>
      </w:r>
    </w:p>
    <w:p>
      <w:r>
        <w:rPr>
          <w:i/>
          <w:color w:val="969696"/>
        </w:rPr>
        <w:t>[Full text from manuscript.md Discussion section — currently ~850 words]</w:t>
      </w:r>
    </w:p>
    <w:p>
      <w:pPr>
        <w:pStyle w:val="Heading2"/>
      </w:pPr>
      <w:r>
        <w:t>4.1 Limitations</w:t>
      </w:r>
    </w:p>
    <w:p>
      <w:r>
        <w:rPr>
          <w:i/>
          <w:color w:val="969696"/>
        </w:rPr>
        <w:t>[Small sample (n=157), OS data immature, pricing based on analyst estimates, single parametric distribution, US payer perspective only.]</w:t>
      </w:r>
    </w:p>
    <w:p>
      <w:pPr>
        <w:pStyle w:val="Heading1"/>
      </w:pPr>
      <w:r>
        <w:t>5 Conclusions</w:t>
      </w:r>
    </w:p>
    <w:p>
      <w:r>
        <w:rPr>
          <w:i/>
          <w:color w:val="969696"/>
        </w:rPr>
        <w:t>[Intismeran + Keytruda provides substantial clinical benefit. At current pricing, the ICER is borderline. Value-based pricing negotiations are warranted.]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ind w:hanging="720" w:left="720"/>
      </w:pPr>
      <w:r>
        <w:t>1. Khattak A, Carlino MS, Meniawy T, et al. Intismeran autogene plus pembrolizumab versus pembrolizumab alone in high-risk resected melanoma: 5-year update of the randomized phase IIb KEYNOTE-942 study. J Clin Oncol. 2026. doi:10.1200/JCO-26-00835</w:t>
      </w:r>
    </w:p>
    <w:p>
      <w:pPr>
        <w:ind w:hanging="720" w:left="720"/>
      </w:pPr>
      <w:r>
        <w:t>2. Merck &amp; Co. Merck and Moderna announce phase 3 INTerpath-001 trial of intismeran autogene plus Keytruda met endpoints. News release. August 19, 2026.</w:t>
      </w:r>
    </w:p>
    <w:p>
      <w:pPr>
        <w:ind w:hanging="720" w:left="720"/>
      </w:pPr>
      <w:r>
        <w:t>3. Bensimon AG, Feng Y, Zheng Y, et al. Health state utilities in patients with melanoma: a systematic review and meta-analysis. Pharmacoeconomics. 2019;37(10):1257-1272.</w:t>
      </w:r>
    </w:p>
    <w:p>
      <w:pPr>
        <w:ind w:hanging="720" w:left="720"/>
      </w:pPr>
      <w:r>
        <w:t>4. GoodRx. Pembrolizumab (Keytruda) pricing data. Accessed May 2026. https://www.goodrx.com/keytruda</w:t>
      </w:r>
    </w:p>
    <w:p>
      <w:pPr>
        <w:ind w:hanging="720" w:left="720"/>
      </w:pPr>
      <w:r>
        <w:t>5. Jefferies Equity Research. Moderna Therapeutics: mRNA-4157 commercial opportunity. Jefferies; 2026.</w:t>
      </w:r>
    </w:p>
    <w:p>
      <w:pPr>
        <w:ind w:hanging="720" w:left="720"/>
      </w:pPr>
      <w:r>
        <w:t>6. Husereau D, Drummond M, Augustovski F, et al. Consolidated Health Economic Evaluation Reporting Standards 2022 (CHEERS 2022) statement. Pharmacoeconomics. 2022;40(1):1-10.</w:t>
      </w:r>
    </w:p>
    <w:p>
      <w:pPr>
        <w:ind w:hanging="720" w:left="720"/>
      </w:pPr>
      <w:r>
        <w:t>[Additional references TBD — add from literature search]</w:t>
      </w:r>
    </w:p>
    <w:p>
      <w:r>
        <w:br w:type="page"/>
      </w:r>
    </w:p>
    <w:p>
      <w:pPr>
        <w:pStyle w:val="Heading1"/>
      </w:pPr>
      <w:r>
        <w:t>Tables</w:t>
      </w:r>
    </w:p>
    <w:p>
      <w:r>
        <w:rPr>
          <w:b/>
        </w:rPr>
        <w:t>Table 1. Model Input Parameters</w:t>
      </w:r>
    </w:p>
    <w:p>
      <w:r>
        <w:rPr>
          <w:i/>
          <w:color w:val="969696"/>
        </w:rPr>
        <w:t>[TBD — parameter table with values, ranges, sources]</w:t>
      </w:r>
    </w:p>
    <w:p/>
    <w:p>
      <w:r>
        <w:rPr>
          <w:b/>
        </w:rPr>
        <w:t>Table 2. Base Case Results</w:t>
      </w:r>
    </w:p>
    <w:p>
      <w:r>
        <w:rPr>
          <w:i/>
          <w:color w:val="969696"/>
        </w:rPr>
        <w:t>[TBD — results table]</w:t>
      </w:r>
    </w:p>
    <w:p/>
    <w:p>
      <w:pPr>
        <w:pStyle w:val="Heading1"/>
      </w:pPr>
      <w:r>
        <w:t>Figure Legends</w:t>
      </w:r>
    </w:p>
    <w:p>
      <w:r>
        <w:t>Figure 1. Weibull-modeled recurrence-free survival (RFS) and overall survival (OS) curves. Circles indicate landmark data points from Khattak et al. (JCO 2026).</w:t>
      </w:r>
    </w:p>
    <w:p>
      <w:r>
        <w:t>Figure 2. Cost-effectiveness acceptability curve (CEAC). Vertical dashed and dotted lines indicate $100,000/QALY and $150,000/QALY thresholds.</w:t>
      </w:r>
    </w:p>
    <w:p>
      <w:r>
        <w:t>Figure 3. Tornado diagram of one-way deterministic sensitivity analysis. Base case ICER = $164,630/QALY (vertical line).</w:t>
      </w:r>
    </w:p>
    <w:p>
      <w:r>
        <w:t>Figure 4. Cost-effectiveness plane showing 1,000 PSA iterations.</w:t>
      </w:r>
    </w:p>
    <w:p>
      <w:r>
        <w:br w:type="page"/>
      </w:r>
    </w:p>
    <w:p>
      <w:pPr>
        <w:pStyle w:val="Heading1"/>
      </w:pPr>
      <w:r>
        <w:t>Declarations</w:t>
      </w:r>
    </w:p>
    <w:p>
      <w:r>
        <w:rPr>
          <w:b/>
        </w:rPr>
        <w:t xml:space="preserve">Funding: </w:t>
      </w:r>
      <w:r>
        <w:rPr>
          <w:i/>
          <w:color w:val="969696"/>
        </w:rPr>
        <w:t>[TBD — no funding received for this study]</w:t>
      </w:r>
    </w:p>
    <w:p/>
    <w:p>
      <w:r>
        <w:rPr>
          <w:b/>
        </w:rPr>
        <w:t xml:space="preserve">Conflicts of Interest: </w:t>
      </w:r>
      <w:r>
        <w:rPr>
          <w:i/>
          <w:color w:val="969696"/>
        </w:rPr>
        <w:t>[TBD — the author declares no competing interests]</w:t>
      </w:r>
    </w:p>
    <w:p/>
    <w:p>
      <w:r>
        <w:rPr>
          <w:b/>
        </w:rPr>
        <w:t xml:space="preserve">Ethics Approval: </w:t>
      </w:r>
      <w:r>
        <w:t>Not applicable. This study is a secondary analysis of published data.</w:t>
      </w:r>
    </w:p>
    <w:p/>
    <w:p>
      <w:r>
        <w:rPr>
          <w:b/>
        </w:rPr>
        <w:t xml:space="preserve">Data Availability: </w:t>
      </w:r>
      <w:r>
        <w:t>All model inputs are sourced from published literature as cited. Analysis code is available at https://github.com/yichao2022/cea-intismeran.</w:t>
      </w:r>
    </w:p>
    <w:p/>
    <w:p>
      <w:r>
        <w:rPr>
          <w:b/>
        </w:rPr>
        <w:t xml:space="preserve">Code Availability: </w:t>
      </w:r>
      <w:r>
        <w:t>The analysis code is publicly available at https://github.com/yichao2022/cea-intismeran.</w:t>
      </w:r>
    </w:p>
    <w:p/>
    <w:p>
      <w:r>
        <w:rPr>
          <w:b/>
        </w:rPr>
        <w:t xml:space="preserve">Author Contributions: </w:t>
      </w:r>
      <w:r>
        <w:t>Yichao Jin: conceptualization, methodology, analysis, writing — original draft, writing — review and editing.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