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Economic Value and Value-Based Pricing of Intismeran Autogene Plus Pembrolizumab for High-Risk Melanoma</w:t>
      </w:r>
    </w:p>
    <w:p/>
    <w:p>
      <w:pPr>
        <w:jc w:val="center"/>
      </w:pPr>
      <w:r>
        <w:rPr>
          <w:sz w:val="24"/>
        </w:rPr>
        <w:t>Yichao Jin</w:t>
      </w:r>
    </w:p>
    <w:p>
      <w:pPr>
        <w:jc w:val="center"/>
      </w:pPr>
      <w:r>
        <w:rPr>
          <w:i/>
          <w:sz w:val="20"/>
        </w:rPr>
        <w:t>University of Texas at Dallas, School of Economic, Political and Policy Sciences</w:t>
      </w:r>
    </w:p>
    <w:p/>
    <w:p>
      <w:pPr>
        <w:jc w:val="center"/>
      </w:pPr>
      <w:r>
        <w:rPr>
          <w:sz w:val="20"/>
        </w:rPr>
        <w:t>Corresponding Author: Yichao Jin</w:t>
      </w:r>
    </w:p>
    <w:p>
      <w:pPr>
        <w:jc w:val="center"/>
      </w:pPr>
      <w:r>
        <w:rPr>
          <w:sz w:val="20"/>
        </w:rPr>
        <w:t>Email: Yichao.Jin@UTDallas.edu</w:t>
      </w:r>
    </w:p>
    <w:p>
      <w:r>
        <w:br w:type="page"/>
      </w:r>
    </w:p>
    <w:p>
      <w:pPr>
        <w:pStyle w:val="Heading1"/>
      </w:pPr>
      <w:r>
        <w:t>Key Points for Decision Makers</w:t>
      </w:r>
    </w:p>
    <w:p>
      <w:pPr>
        <w:pStyle w:val="ListBullet"/>
        <w:spacing w:after="120"/>
      </w:pPr>
      <w:r>
        <w:t>Intismeran autogene plus pembrolizumab provides substantial QALY gains (5.83) compared with pembrolizumab alone in adjuvant melanoma.</w:t>
      </w:r>
    </w:p>
    <w:p>
      <w:pPr>
        <w:pStyle w:val="ListBullet"/>
        <w:spacing w:after="120"/>
      </w:pPr>
      <w:r>
        <w:t>At the analyst-estimated price of $200,000 per course, the ICER is $164,630/QALY — borderline cost-effective by US thresholds.</w:t>
      </w:r>
    </w:p>
    <w:p>
      <w:pPr>
        <w:pStyle w:val="ListBullet"/>
        <w:spacing w:after="120"/>
      </w:pPr>
      <w:r>
        <w:t>Value-based pricing at the $150,000/QALY threshold would require an intismeran price of approximately $114,000 per course.</w:t>
      </w:r>
    </w:p>
    <w:p>
      <w:pPr>
        <w:pStyle w:val="ListBullet"/>
        <w:spacing w:after="120"/>
      </w:pPr>
      <w:r>
        <w:t>Even at zero acquisition cost, the ICER floor is $130,812/QALY, making the $100,000/QALY threshold unattainable.</w:t>
      </w:r>
    </w:p>
    <w:p>
      <w:pPr>
        <w:pStyle w:val="ListBullet"/>
        <w:spacing w:after="120"/>
      </w:pPr>
      <w:r>
        <w:t>These early economic data can inform pricing negotiations as this first-in-class mRNA therapy moves toward approval.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rPr>
          <w:i/>
          <w:color w:val="969696"/>
        </w:rPr>
        <w:t>[TBD — 150-250 words, structured abstract]</w:t>
      </w:r>
    </w:p>
    <w:p/>
    <w:p>
      <w:r>
        <w:rPr>
          <w:b/>
        </w:rPr>
        <w:t xml:space="preserve">Methods: </w:t>
      </w:r>
      <w:r>
        <w:rPr>
          <w:i/>
          <w:color w:val="969696"/>
        </w:rPr>
        <w:t>[TBD — 150-250 words, structured abstract]</w:t>
      </w:r>
    </w:p>
    <w:p/>
    <w:p>
      <w:r>
        <w:rPr>
          <w:b/>
        </w:rPr>
        <w:t xml:space="preserve">Results: </w:t>
      </w:r>
      <w:r>
        <w:rPr>
          <w:i/>
          <w:color w:val="969696"/>
        </w:rPr>
        <w:t>[TBD — 150-250 words, structured abstract]</w:t>
      </w:r>
    </w:p>
    <w:p/>
    <w:p>
      <w:r>
        <w:rPr>
          <w:b/>
        </w:rPr>
        <w:t xml:space="preserve">Conclusions: </w:t>
      </w:r>
      <w:r>
        <w:rPr>
          <w:i/>
          <w:color w:val="969696"/>
        </w:rPr>
        <w:t>[TBD — 150-250 words, structured abstract]</w:t>
      </w:r>
    </w:p>
    <w:p/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A New Reimbursement Problem</w:t>
      </w:r>
    </w:p>
    <w:p>
      <w:r>
        <w:t xml:space="preserve">On August 19, 2026, INTerpath-001 reported the first positive Phase 3 results for an individualized mRNA cancer therapy. </w:t>
      </w:r>
      <w:r>
        <w:rPr>
          <w:i/>
          <w:color w:val="969696"/>
        </w:rPr>
        <w:t>[The result creates an immediate pricing and reimbursement question because intismeran autogene is individually manufactured for each patient and has no established commercial price.]</w:t>
      </w:r>
    </w:p>
    <w:p>
      <w:r>
        <w:rPr>
          <w:i/>
          <w:color w:val="969696"/>
        </w:rPr>
        <w:t>[Although clinical evidence has now crossed the Phase 3 threshold, evidence on its economic value has not. This study provides the first economic evidence to inform that decision.]</w:t>
      </w:r>
    </w:p>
    <w:p>
      <w:r>
        <w:rPr>
          <w:i/>
          <w:color w:val="969696"/>
        </w:rPr>
        <w:t>[Full text from manuscript.md Introduction section]</w:t>
      </w:r>
    </w:p>
    <w:p>
      <w:pPr>
        <w:pStyle w:val="Heading1"/>
      </w:pPr>
      <w:r>
        <w:t>2 Methods</w:t>
      </w:r>
    </w:p>
    <w:p>
      <w:pPr>
        <w:pStyle w:val="Heading2"/>
      </w:pPr>
      <w:r>
        <w:t>2.1 Model Structure</w:t>
      </w:r>
    </w:p>
    <w:p>
      <w:r>
        <w:rPr>
          <w:i/>
          <w:color w:val="969696"/>
        </w:rPr>
        <w:t>[TBD — Model Structure]</w:t>
      </w:r>
    </w:p>
    <w:p>
      <w:pPr>
        <w:pStyle w:val="Heading2"/>
      </w:pPr>
      <w:r>
        <w:t>2.2 Clinical Data</w:t>
      </w:r>
    </w:p>
    <w:p>
      <w:r>
        <w:rPr>
          <w:i/>
          <w:color w:val="969696"/>
        </w:rPr>
        <w:t>[TBD — Clinical Data]</w:t>
      </w:r>
    </w:p>
    <w:p>
      <w:pPr>
        <w:pStyle w:val="Heading2"/>
      </w:pPr>
      <w:r>
        <w:t>2.3 Costs</w:t>
      </w:r>
    </w:p>
    <w:p>
      <w:r>
        <w:rPr>
          <w:i/>
          <w:color w:val="969696"/>
        </w:rPr>
        <w:t>[TBD — Costs]</w:t>
      </w:r>
    </w:p>
    <w:p>
      <w:pPr>
        <w:pStyle w:val="Heading2"/>
      </w:pPr>
      <w:r>
        <w:t>2.4 Utilities</w:t>
      </w:r>
    </w:p>
    <w:p>
      <w:r>
        <w:rPr>
          <w:i/>
          <w:color w:val="969696"/>
        </w:rPr>
        <w:t>[TBD — Utilities]</w:t>
      </w:r>
    </w:p>
    <w:p>
      <w:pPr>
        <w:pStyle w:val="Heading2"/>
      </w:pPr>
      <w:r>
        <w:t>2.5 Sensitivity Analysis</w:t>
      </w:r>
    </w:p>
    <w:p>
      <w:r>
        <w:rPr>
          <w:i/>
          <w:color w:val="969696"/>
        </w:rPr>
        <w:t>[TBD — Sensitivity Analysis]</w:t>
      </w:r>
    </w:p>
    <w:p>
      <w:r>
        <w:rPr>
          <w:b/>
          <w:sz w:val="20"/>
        </w:rPr>
        <w:t>Table 1. Model Input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 Case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PSA Distribution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5-year RFS, combo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68.8%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Beta(α=107, β=…)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Khattak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5-year RFS, pembro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Khattak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RFS HR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LogNormal(-0.673, 0.282)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Khattak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DMFS HR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LogNormal(-0.889, 0.366)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Khattak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5-year OS, combo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Khattak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5-year OS, pembro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Khattak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Keytruda annual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$220,896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Gamma(25, 8,836)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GoodRx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Intismeran course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$200,000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Gamma(25, 8,000)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Jefferies 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Sequencing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Industry 2025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Admin/cycle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CMS PFS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AE (combo)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$15,000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Gamma(4, 3,750)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Literature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Metastatic/month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$12,000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Gamma(4, 3,000)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Literature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Utility DFS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Beta(395, 81)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Bensimon 2019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Utility DM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Beta(295, 159)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Bensimon 2019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AE disutility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Bensimon 2019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Discount 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Fixed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Standard</w:t>
            </w:r>
          </w:p>
        </w:tc>
      </w:tr>
    </w:tbl>
    <w:p/>
    <w:p>
      <w:r>
        <w:br w:type="page"/>
      </w:r>
    </w:p>
    <w:p>
      <w:pPr>
        <w:pStyle w:val="Heading1"/>
      </w:pPr>
      <w:r>
        <w:t>3 Results</w:t>
      </w:r>
    </w:p>
    <w:p>
      <w:pPr>
        <w:pStyle w:val="Heading2"/>
      </w:pPr>
      <w:r>
        <w:t>3.1 Base Case</w:t>
      </w:r>
    </w:p>
    <w:p>
      <w:r>
        <w:rPr>
          <w:i/>
          <w:color w:val="969696"/>
        </w:rPr>
        <w:t>[TBD — describe base case results]</w:t>
      </w:r>
    </w:p>
    <w:p>
      <w:r>
        <w:rPr>
          <w:b/>
          <w:sz w:val="20"/>
        </w:rPr>
        <w:t>Table 2. Base Case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Pembrolizumab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Intismeran + Pembro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Incremental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Total QALYs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12.54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5.83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Total Cost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$862,286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$1,821,435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$959,150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ICER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$164,630/QALY</w:t>
            </w:r>
          </w:p>
        </w:tc>
      </w:tr>
    </w:tbl>
    <w:p/>
    <w:p>
      <w:pPr>
        <w:pStyle w:val="Heading2"/>
      </w:pPr>
      <w:r>
        <w:t>3.2 Sensitivity Analysis</w:t>
      </w:r>
    </w:p>
    <w:p>
      <w:r>
        <w:rPr>
          <w:i/>
          <w:color w:val="969696"/>
        </w:rPr>
        <w:t>[TBD — describe PSA and DSA results]</w:t>
      </w:r>
    </w:p>
    <w:p>
      <w:r>
        <w:rPr>
          <w:b/>
          <w:sz w:val="20"/>
        </w:rPr>
        <w:t>Table 3. Probabilistic Sensitivity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Mean ICER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$165,409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Median ICER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$162,353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95% CI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$114,383 – $224,333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P(CE @ $100K)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P(CE @ $150K)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29.5%</w:t>
            </w:r>
          </w:p>
        </w:tc>
      </w:tr>
    </w:tbl>
    <w:p/>
    <w:p>
      <w:pPr>
        <w:pStyle w:val="Heading1"/>
      </w:pPr>
      <w:r>
        <w:t>4 Discussion</w:t>
      </w:r>
    </w:p>
    <w:p>
      <w:r>
        <w:rPr>
          <w:i/>
          <w:color w:val="969696"/>
        </w:rPr>
        <w:t>[TBD — full discussion text]</w:t>
      </w:r>
    </w:p>
    <w:p>
      <w:pPr>
        <w:pStyle w:val="Heading2"/>
      </w:pPr>
      <w:r>
        <w:t>4.1 Value-Based Pricing</w:t>
      </w:r>
    </w:p>
    <w:p>
      <w:r>
        <w:rPr>
          <w:i/>
          <w:color w:val="969696"/>
        </w:rPr>
        <w:t>At the analyst-estimated acquisition cost of $200,000 per course, the ICER was $164,630/QALY. A price reduction to approximately $114,000 per course would be required to bring the ICER below $150,000/QALY, representing a pricing gap of approximately $87,000 from current estimates. Even at a zero acquisition cost, the ICER floor is $130,812/QALY due to residual costs (pembrolizumab, AE management, administration) in the combination arm. The $100,000/QALY threshold is not achievable within any positive price range.</w:t>
      </w:r>
    </w:p>
    <w:p>
      <w:pPr>
        <w:pStyle w:val="Heading2"/>
      </w:pPr>
      <w:r>
        <w:t>4.2 Limitations</w:t>
      </w:r>
    </w:p>
    <w:p>
      <w:r>
        <w:rPr>
          <w:i/>
          <w:color w:val="969696"/>
        </w:rPr>
        <w:t>[TBD]</w:t>
      </w:r>
    </w:p>
    <w:p>
      <w:pPr>
        <w:pStyle w:val="Heading1"/>
      </w:pPr>
      <w:r>
        <w:t>5 Conclusions</w:t>
      </w:r>
    </w:p>
    <w:p>
      <w:r>
        <w:rPr>
          <w:i/>
          <w:color w:val="969696"/>
        </w:rPr>
        <w:t>[TBD]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hanging="720" w:left="720"/>
      </w:pPr>
      <w:r>
        <w:t>1. Khattak A, et al. Intismeran autogene plus pembrolizumab versus pembrolizumab alone in high-risk resected melanoma: 5-year update of KEYNOTE-942. J Clin Oncol. 2026. doi:10.1200/JCO-26-00835</w:t>
      </w:r>
    </w:p>
    <w:p>
      <w:pPr>
        <w:ind w:hanging="720" w:left="720"/>
      </w:pPr>
      <w:r>
        <w:t>2. Merck &amp; Co. INTerpath-001 Phase 3 top-line results. News release. August 19, 2026.</w:t>
      </w:r>
    </w:p>
    <w:p>
      <w:pPr>
        <w:ind w:hanging="720" w:left="720"/>
      </w:pPr>
      <w:r>
        <w:t>3. Bensimon AG, et al. Health state utilities in melanoma: a systematic review. Pharmacoeconomics. 2019;37(10):1257-1272.</w:t>
      </w:r>
    </w:p>
    <w:p>
      <w:pPr>
        <w:ind w:hanging="720" w:left="720"/>
      </w:pPr>
      <w:r>
        <w:t>4. GoodRx. Pembrolizumab pricing data. Accessed May 2026.</w:t>
      </w:r>
    </w:p>
    <w:p>
      <w:pPr>
        <w:ind w:hanging="720" w:left="720"/>
      </w:pPr>
      <w:r>
        <w:t>5. Jefferies Equity Research. Moderna: mRNA-4157 commercial opportunity. 2026.</w:t>
      </w:r>
    </w:p>
    <w:p>
      <w:pPr>
        <w:ind w:hanging="720" w:left="720"/>
      </w:pPr>
      <w:r>
        <w:t>6. Husereau D, et al. CHEERS 2022 statement. Pharmacoeconomics. 2022;40(1):1-10.</w:t>
      </w:r>
    </w:p>
    <w:p>
      <w:r>
        <w:br w:type="page"/>
      </w:r>
    </w:p>
    <w:p>
      <w:pPr>
        <w:pStyle w:val="Heading1"/>
      </w:pPr>
      <w:r>
        <w:t>Figure Legends</w:t>
      </w:r>
    </w:p>
    <w:p>
      <w:r>
        <w:t>Figure 1. Weibull-modeled RFS and OS curves. Circles: landmark data from Khattak et al. (JCO 2026).</w:t>
      </w:r>
    </w:p>
    <w:p>
      <w:r>
        <w:t>Figure 2. Cost-effectiveness acceptability curve. Dashed/dotted lines: $100K and $150K thresholds.</w:t>
      </w:r>
    </w:p>
    <w:p>
      <w:r>
        <w:t>Figure 3. Tornado diagram, one-way sensitivity analysis. Base case ICER = $164,630/QALY.</w:t>
      </w:r>
    </w:p>
    <w:p>
      <w:r>
        <w:t>Figure 4. Cost-effectiveness plane, 1,000 PSA iterations.</w:t>
      </w:r>
    </w:p>
    <w:p>
      <w:pPr>
        <w:pStyle w:val="Heading1"/>
      </w:pPr>
      <w:r>
        <w:t>Declarations</w:t>
      </w:r>
    </w:p>
    <w:p>
      <w:r>
        <w:rPr>
          <w:b/>
        </w:rPr>
        <w:t xml:space="preserve">Funding: </w:t>
      </w:r>
      <w:r>
        <w:rPr>
          <w:i/>
          <w:color w:val="969696"/>
        </w:rPr>
        <w:t>[TBD]</w:t>
      </w:r>
    </w:p>
    <w:p>
      <w:r>
        <w:rPr>
          <w:b/>
        </w:rPr>
        <w:t xml:space="preserve">Conflicts of Interest: </w:t>
      </w:r>
      <w:r>
        <w:rPr>
          <w:i/>
          <w:color w:val="969696"/>
        </w:rPr>
        <w:t>[TBD]</w:t>
      </w:r>
    </w:p>
    <w:p>
      <w:r>
        <w:rPr>
          <w:b/>
        </w:rPr>
        <w:t xml:space="preserve">Data Availability: </w:t>
      </w:r>
      <w:r>
        <w:t>Code available at https://github.com/yichao2022/cea-intismeran</w:t>
      </w:r>
    </w:p>
    <w:p>
      <w:r>
        <w:rPr>
          <w:b/>
        </w:rPr>
        <w:t xml:space="preserve">Author Contributions: </w:t>
      </w:r>
      <w:r>
        <w:t>Yichao Jin: conceptualization, methodology, analysis,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