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05BEE">
      <w:pPr>
        <w:jc w:val="left"/>
        <w:rPr>
          <w:rFonts w:hint="default"/>
          <w:lang w:val="en-US"/>
        </w:rPr>
      </w:pPr>
      <w:r>
        <w:rPr>
          <w:rFonts w:hint="default"/>
          <w:lang w:val="en-US"/>
        </w:rPr>
        <w:t xml:space="preserve">Yichi Zhang(A22245302). I have discussed with my teammate: </w:t>
      </w:r>
    </w:p>
    <w:p w14:paraId="451D400A">
      <w:pPr>
        <w:jc w:val="left"/>
        <w:rPr>
          <w:rFonts w:hint="default"/>
          <w:lang w:val="en-US"/>
        </w:rPr>
      </w:pPr>
      <w:r>
        <w:rPr>
          <w:rFonts w:hint="default"/>
          <w:lang w:val="en-US"/>
        </w:rPr>
        <w:t>Helene Sy Ivanne(A22339734),</w:t>
      </w:r>
    </w:p>
    <w:p w14:paraId="298D4A0E">
      <w:pPr>
        <w:jc w:val="left"/>
        <w:rPr>
          <w:rFonts w:hint="default"/>
          <w:lang w:val="en-US"/>
        </w:rPr>
      </w:pPr>
      <w:r>
        <w:rPr>
          <w:rFonts w:hint="default"/>
          <w:lang w:val="en-US"/>
        </w:rPr>
        <w:t>Hwa Ryun Kim(A22230638).</w:t>
      </w:r>
    </w:p>
    <w:p w14:paraId="2E9EE370">
      <w:pPr>
        <w:rPr>
          <w:rFonts w:hint="default"/>
          <w:lang w:val="en-US"/>
        </w:rPr>
      </w:pPr>
      <w:bookmarkStart w:id="0" w:name="_GoBack"/>
      <w:bookmarkEnd w:id="0"/>
    </w:p>
    <w:p w14:paraId="5E63C208">
      <w:pPr>
        <w:rPr>
          <w:rFonts w:hint="default"/>
          <w:b/>
          <w:bCs/>
          <w:sz w:val="24"/>
          <w:szCs w:val="32"/>
        </w:rPr>
      </w:pPr>
      <w:r>
        <w:rPr>
          <w:rFonts w:hint="default"/>
          <w:b/>
          <w:bCs/>
          <w:sz w:val="24"/>
          <w:szCs w:val="32"/>
        </w:rPr>
        <w:t>Data</w:t>
      </w:r>
    </w:p>
    <w:p w14:paraId="0DEA7AC0">
      <w:pPr>
        <w:rPr>
          <w:rFonts w:hint="default"/>
          <w:lang w:val="en-US"/>
        </w:rPr>
      </w:pPr>
      <w:r>
        <w:rPr>
          <w:rFonts w:hint="default"/>
          <w:b/>
          <w:bCs/>
          <w:lang w:val="en-US"/>
        </w:rPr>
        <w:t>1.One particular exchange or multiple exchanges:</w:t>
      </w:r>
    </w:p>
    <w:p w14:paraId="284B5E2C">
      <w:pPr>
        <w:rPr>
          <w:rFonts w:hint="default"/>
        </w:rPr>
      </w:pPr>
      <w:r>
        <w:rPr>
          <w:rFonts w:hint="default"/>
        </w:rPr>
        <w:t>One exchange (</w:t>
      </w:r>
      <w:r>
        <w:rPr>
          <w:rFonts w:hint="default"/>
          <w:lang w:val="en-US"/>
        </w:rPr>
        <w:t>eg:</w:t>
      </w:r>
      <w:r>
        <w:rPr>
          <w:rFonts w:hint="default"/>
        </w:rPr>
        <w:t>Binance)</w:t>
      </w:r>
    </w:p>
    <w:p w14:paraId="15111E17">
      <w:pPr>
        <w:rPr>
          <w:rFonts w:hint="default"/>
          <w:lang w:val="en-US"/>
        </w:rPr>
      </w:pPr>
      <w:r>
        <w:rPr>
          <w:rFonts w:hint="default"/>
          <w:lang w:val="en-US"/>
        </w:rPr>
        <w:t>why:</w:t>
      </w:r>
    </w:p>
    <w:p w14:paraId="066B4880">
      <w:pPr>
        <w:numPr>
          <w:ilvl w:val="1"/>
          <w:numId w:val="1"/>
        </w:numPr>
        <w:rPr>
          <w:rFonts w:hint="default"/>
          <w:lang w:val="en-US"/>
        </w:rPr>
      </w:pPr>
      <w:r>
        <w:rPr>
          <w:rFonts w:hint="default"/>
          <w:lang w:val="en-US"/>
        </w:rPr>
        <w:t>Consistency and Control</w:t>
      </w:r>
      <w:r>
        <w:rPr>
          <w:rFonts w:hint="default"/>
          <w:lang w:val="en-US"/>
        </w:rPr>
        <w:br w:type="textWrapping"/>
      </w:r>
      <w:r>
        <w:rPr>
          <w:rFonts w:hint="default"/>
          <w:lang w:val="en-US"/>
        </w:rPr>
        <w:t>Using a single exchange controls for heterogeneity in trading rules, tick sizes, and timestamp conventions. This makes the volatility labels and features more consistent.</w:t>
      </w:r>
    </w:p>
    <w:p w14:paraId="1A0F8420">
      <w:pPr>
        <w:rPr>
          <w:rFonts w:hint="default"/>
          <w:lang w:val="en-US"/>
        </w:rPr>
      </w:pPr>
    </w:p>
    <w:p w14:paraId="1CF886A7">
      <w:pPr>
        <w:numPr>
          <w:ilvl w:val="1"/>
          <w:numId w:val="1"/>
        </w:numPr>
        <w:ind w:left="0" w:leftChars="0" w:firstLine="0" w:firstLineChars="0"/>
        <w:rPr>
          <w:rFonts w:hint="default"/>
          <w:lang w:val="en-US"/>
        </w:rPr>
      </w:pPr>
      <w:r>
        <w:rPr>
          <w:rFonts w:hint="default"/>
          <w:lang w:val="en-US"/>
        </w:rPr>
        <w:t>Engineering and Reproducibility</w:t>
      </w:r>
      <w:r>
        <w:rPr>
          <w:rFonts w:hint="default"/>
          <w:lang w:val="en-US"/>
        </w:rPr>
        <w:br w:type="textWrapping"/>
      </w:r>
      <w:r>
        <w:rPr>
          <w:rFonts w:hint="default"/>
          <w:lang w:val="en-US"/>
        </w:rPr>
        <w:t>A unified data schema simplifies pipeline design and reduces synchronization errors. It also improves reproducibility, since other researchers can easily access the same data source.</w:t>
      </w:r>
    </w:p>
    <w:p w14:paraId="7A7B852E">
      <w:pPr>
        <w:numPr>
          <w:numId w:val="0"/>
        </w:numPr>
        <w:ind w:leftChars="0"/>
        <w:rPr>
          <w:rFonts w:hint="default"/>
          <w:lang w:val="en-US"/>
        </w:rPr>
      </w:pPr>
    </w:p>
    <w:p w14:paraId="1C22FCB2">
      <w:pPr>
        <w:numPr>
          <w:ilvl w:val="1"/>
          <w:numId w:val="1"/>
        </w:numPr>
        <w:ind w:left="0" w:leftChars="0" w:firstLine="0" w:firstLineChars="0"/>
        <w:rPr>
          <w:rFonts w:hint="default"/>
          <w:lang w:val="en-US"/>
        </w:rPr>
      </w:pPr>
      <w:r>
        <w:rPr>
          <w:rFonts w:hint="default"/>
          <w:lang w:val="en-US"/>
        </w:rPr>
        <w:t>Future Extension</w:t>
      </w:r>
      <w:r>
        <w:rPr>
          <w:rFonts w:hint="default"/>
          <w:lang w:val="en-US"/>
        </w:rPr>
        <w:br w:type="textWrapping"/>
      </w:r>
      <w:r>
        <w:rPr>
          <w:rFonts w:hint="default"/>
          <w:lang w:val="en-US"/>
        </w:rPr>
        <w:t>While Phase I focuses on one exchange for internal validity, later stages can test cross-exchange generalization to assess external validity.</w:t>
      </w:r>
    </w:p>
    <w:p w14:paraId="24BA69D4">
      <w:pPr>
        <w:rPr>
          <w:rFonts w:hint="default"/>
          <w:lang w:val="en-US"/>
        </w:rPr>
      </w:pPr>
    </w:p>
    <w:p w14:paraId="66A224D8">
      <w:pPr>
        <w:rPr>
          <w:rFonts w:hint="default"/>
          <w:b/>
          <w:bCs/>
          <w:lang w:val="en-US"/>
        </w:rPr>
      </w:pPr>
      <w:r>
        <w:rPr>
          <w:rFonts w:hint="default"/>
          <w:b/>
          <w:bCs/>
          <w:lang w:val="en-US"/>
        </w:rPr>
        <w:t>2.Specific instruments or multiple instruments</w:t>
      </w:r>
    </w:p>
    <w:p w14:paraId="193B6BA5">
      <w:pPr>
        <w:rPr>
          <w:rFonts w:hint="default"/>
        </w:rPr>
      </w:pPr>
      <w:r>
        <w:rPr>
          <w:rFonts w:hint="default"/>
        </w:rPr>
        <w:t>Multiple instruments (top 10/5 coins)</w:t>
      </w:r>
    </w:p>
    <w:p w14:paraId="079C24A9">
      <w:pPr>
        <w:rPr>
          <w:rFonts w:hint="default"/>
          <w:lang w:val="en-US"/>
        </w:rPr>
      </w:pPr>
      <w:r>
        <w:rPr>
          <w:rFonts w:hint="default"/>
          <w:lang w:val="en-US"/>
        </w:rPr>
        <w:t>why:</w:t>
      </w:r>
    </w:p>
    <w:p w14:paraId="01AC46AC">
      <w:pPr>
        <w:rPr>
          <w:rFonts w:hint="default"/>
          <w:lang w:val="en-US"/>
        </w:rPr>
      </w:pPr>
      <w:r>
        <w:rPr>
          <w:rFonts w:hint="eastAsia"/>
          <w:lang w:val="en-US" w:eastAsia="zh-CN"/>
        </w:rPr>
        <w:t xml:space="preserve">2.1. </w:t>
      </w:r>
      <w:r>
        <w:rPr>
          <w:rFonts w:hint="default"/>
          <w:lang w:val="en-US"/>
        </w:rPr>
        <w:t>Market Coverage</w:t>
      </w:r>
      <w:r>
        <w:rPr>
          <w:rFonts w:hint="default"/>
          <w:lang w:val="en-US"/>
        </w:rPr>
        <w:br w:type="textWrapping"/>
      </w:r>
      <w:r>
        <w:rPr>
          <w:rFonts w:hint="default"/>
          <w:lang w:val="en-US"/>
        </w:rPr>
        <w:t>Focusing on the top 5–10 coins ensures that the model is trained on the most actively traded instruments. These markets dominate volume and price discovery, making the results more representative.</w:t>
      </w:r>
    </w:p>
    <w:p w14:paraId="4D545B18">
      <w:pPr>
        <w:rPr>
          <w:rFonts w:hint="default"/>
          <w:lang w:val="en-US"/>
        </w:rPr>
      </w:pPr>
    </w:p>
    <w:p w14:paraId="5F12F7BF">
      <w:pPr>
        <w:rPr>
          <w:rFonts w:hint="default"/>
          <w:lang w:val="en-US"/>
        </w:rPr>
      </w:pPr>
      <w:r>
        <w:rPr>
          <w:rFonts w:hint="eastAsia"/>
          <w:lang w:val="en-US" w:eastAsia="zh-CN"/>
        </w:rPr>
        <w:t xml:space="preserve">2.2. </w:t>
      </w:r>
      <w:r>
        <w:rPr>
          <w:rFonts w:hint="default"/>
          <w:lang w:val="en-US"/>
        </w:rPr>
        <w:t>Data Quality</w:t>
      </w:r>
      <w:r>
        <w:rPr>
          <w:rFonts w:hint="default"/>
          <w:lang w:val="en-US"/>
        </w:rPr>
        <w:br w:type="textWrapping"/>
      </w:r>
      <w:r>
        <w:rPr>
          <w:rFonts w:hint="default"/>
          <w:lang w:val="en-US"/>
        </w:rPr>
        <w:t>Highly liquid instruments reduce noise such as stale quotes or extreme bid–ask spreads. This creates cleaner microstructure features and more reliable short-term volatility labels.</w:t>
      </w:r>
    </w:p>
    <w:p w14:paraId="3605E5FD">
      <w:pPr>
        <w:rPr>
          <w:rFonts w:hint="default"/>
          <w:lang w:val="en-US"/>
        </w:rPr>
      </w:pPr>
    </w:p>
    <w:p w14:paraId="2C6451ED">
      <w:pPr>
        <w:rPr>
          <w:rFonts w:hint="default"/>
          <w:lang w:val="en-US"/>
        </w:rPr>
      </w:pPr>
      <w:r>
        <w:rPr>
          <w:rFonts w:hint="eastAsia"/>
          <w:lang w:val="en-US" w:eastAsia="zh-CN"/>
        </w:rPr>
        <w:t xml:space="preserve">2.3. </w:t>
      </w:r>
      <w:r>
        <w:rPr>
          <w:rFonts w:hint="default"/>
          <w:lang w:val="en-US"/>
        </w:rPr>
        <w:t>Generalization</w:t>
      </w:r>
      <w:r>
        <w:rPr>
          <w:rFonts w:hint="default"/>
          <w:lang w:val="en-US"/>
        </w:rPr>
        <w:br w:type="textWrapping"/>
      </w:r>
      <w:r>
        <w:rPr>
          <w:rFonts w:hint="default"/>
          <w:lang w:val="en-US"/>
        </w:rPr>
        <w:t>Using multiple assets avoids overfitting to idiosyncratic behavior of a single coin. It allows the model to capture common volatility dynamics across liquid instruments.</w:t>
      </w:r>
    </w:p>
    <w:p w14:paraId="4F2C612A">
      <w:pPr>
        <w:rPr>
          <w:rFonts w:hint="default"/>
          <w:lang w:val="en-US"/>
        </w:rPr>
      </w:pPr>
    </w:p>
    <w:p w14:paraId="35F3837F">
      <w:pPr>
        <w:rPr>
          <w:rFonts w:hint="default"/>
          <w:lang w:val="en-US"/>
        </w:rPr>
      </w:pPr>
      <w:r>
        <w:rPr>
          <w:rFonts w:hint="eastAsia"/>
          <w:lang w:val="en-US" w:eastAsia="zh-CN"/>
        </w:rPr>
        <w:t xml:space="preserve">2.4. </w:t>
      </w:r>
      <w:r>
        <w:rPr>
          <w:rFonts w:hint="default"/>
          <w:lang w:val="en-US"/>
        </w:rPr>
        <w:t>Computational Balance</w:t>
      </w:r>
      <w:r>
        <w:rPr>
          <w:rFonts w:hint="default"/>
          <w:lang w:val="en-US"/>
        </w:rPr>
        <w:br w:type="textWrapping"/>
      </w:r>
      <w:r>
        <w:rPr>
          <w:rFonts w:hint="default"/>
          <w:lang w:val="en-US"/>
        </w:rPr>
        <w:t>Restricting the universe to a limited set (top 5/10) keeps the dataset rich but still computationally manageable, ensuring training efficiency.</w:t>
      </w:r>
    </w:p>
    <w:p w14:paraId="52ACECFB">
      <w:pPr>
        <w:rPr>
          <w:rFonts w:hint="default"/>
          <w:lang w:val="en-US"/>
        </w:rPr>
      </w:pPr>
    </w:p>
    <w:p w14:paraId="1D31D688">
      <w:pPr>
        <w:numPr>
          <w:numId w:val="0"/>
        </w:numPr>
        <w:rPr>
          <w:rFonts w:hint="default"/>
          <w:b/>
          <w:bCs/>
        </w:rPr>
      </w:pPr>
      <w:r>
        <w:rPr>
          <w:rFonts w:hint="default"/>
          <w:b/>
          <w:bCs/>
          <w:lang w:val="en-US"/>
        </w:rPr>
        <w:t>3.Exact datafields you will be using</w:t>
      </w:r>
      <w:r>
        <w:rPr>
          <w:rFonts w:hint="default"/>
          <w:b/>
          <w:bCs/>
        </w:rPr>
        <w:t xml:space="preserve"> </w:t>
      </w:r>
    </w:p>
    <w:p w14:paraId="26A84CC5">
      <w:pPr>
        <w:rPr>
          <w:rFonts w:hint="eastAsia"/>
          <w:lang w:val="en-US" w:eastAsia="zh-CN"/>
        </w:rPr>
      </w:pPr>
      <w:r>
        <w:rPr>
          <w:rFonts w:hint="default"/>
        </w:rPr>
        <w:t>level 1 data,</w:t>
      </w:r>
      <w:r>
        <w:rPr>
          <w:rFonts w:hint="eastAsia"/>
          <w:lang w:val="en-US" w:eastAsia="zh-CN"/>
        </w:rPr>
        <w:t xml:space="preserve"> </w:t>
      </w:r>
      <w:r>
        <w:rPr>
          <w:rFonts w:hint="default"/>
          <w:lang w:val="en-US" w:eastAsia="zh-CN"/>
        </w:rPr>
        <w:t>b</w:t>
      </w:r>
      <w:r>
        <w:rPr>
          <w:rFonts w:hint="eastAsia"/>
          <w:lang w:val="en-US" w:eastAsia="zh-CN"/>
        </w:rPr>
        <w:t>est bid/ask and last-trade information capture immediate market movements. These fields reflect spread dynamics, mid-price changes, and trade aggressiveness, which are direct drivers of realized volatility at the 1-minute horizon.</w:t>
      </w:r>
    </w:p>
    <w:p w14:paraId="127EEAE9">
      <w:pPr>
        <w:rPr>
          <w:rFonts w:hint="default"/>
        </w:rPr>
      </w:pPr>
      <w:r>
        <w:rPr>
          <w:rFonts w:hint="default"/>
        </w:rPr>
        <w:t xml:space="preserve"> </w:t>
      </w:r>
    </w:p>
    <w:p w14:paraId="7596C245">
      <w:pPr>
        <w:rPr>
          <w:rFonts w:hint="default"/>
        </w:rPr>
      </w:pPr>
      <w:r>
        <w:rPr>
          <w:rFonts w:hint="default"/>
        </w:rPr>
        <w:t xml:space="preserve">market sentiment data, </w:t>
      </w:r>
      <w:r>
        <w:rPr>
          <w:rFonts w:hint="default"/>
          <w:lang w:val="en-US"/>
        </w:rPr>
        <w:t>s</w:t>
      </w:r>
      <w:r>
        <w:rPr>
          <w:rFonts w:hint="default"/>
          <w:lang w:val="en-US" w:eastAsia="zh-CN"/>
        </w:rPr>
        <w:t>entiment (from news, social media, or sentiment indices) captures exogenous shocks not visible in the order book. Sudden sentiment changes can explain abnormal volatility patterns beyond pure microstructure features.</w:t>
      </w:r>
    </w:p>
    <w:p w14:paraId="4838BF6C">
      <w:pPr>
        <w:rPr>
          <w:rFonts w:hint="default"/>
        </w:rPr>
      </w:pPr>
    </w:p>
    <w:p w14:paraId="4D5922EF">
      <w:pPr>
        <w:rPr>
          <w:rFonts w:hint="default"/>
        </w:rPr>
      </w:pPr>
      <w:r>
        <w:rPr>
          <w:rFonts w:hint="default"/>
        </w:rPr>
        <w:t xml:space="preserve">level 2 data, </w:t>
      </w:r>
      <w:r>
        <w:rPr>
          <w:rFonts w:hint="default"/>
          <w:lang w:val="en-US"/>
        </w:rPr>
        <w:t>d</w:t>
      </w:r>
      <w:r>
        <w:rPr>
          <w:rFonts w:hint="default"/>
          <w:lang w:val="en-US" w:eastAsia="zh-CN"/>
        </w:rPr>
        <w:t>eeper order book layers provide insight into hidden liquidity, imbalance, and order flow pressure. These microstructure signals are leading indicators of short-term volatility spikes.</w:t>
      </w:r>
    </w:p>
    <w:p w14:paraId="482C0AE1">
      <w:pPr>
        <w:rPr>
          <w:rFonts w:hint="default"/>
        </w:rPr>
      </w:pPr>
    </w:p>
    <w:p w14:paraId="7C8E4592">
      <w:pPr>
        <w:rPr>
          <w:rFonts w:hint="default"/>
          <w:lang w:val="en-US"/>
        </w:rPr>
      </w:pPr>
      <w:r>
        <w:rPr>
          <w:rFonts w:hint="eastAsia"/>
          <w:lang w:val="en-US" w:eastAsia="zh-CN"/>
        </w:rPr>
        <w:t>f</w:t>
      </w:r>
      <w:r>
        <w:rPr>
          <w:rFonts w:hint="default"/>
        </w:rPr>
        <w:t>unding rate</w:t>
      </w:r>
      <w:r>
        <w:rPr>
          <w:rFonts w:hint="default"/>
          <w:lang w:val="en-US"/>
        </w:rPr>
        <w:t>, f</w:t>
      </w:r>
      <w:r>
        <w:rPr>
          <w:rFonts w:hint="default"/>
          <w:lang w:val="en-US" w:eastAsia="zh-CN"/>
        </w:rPr>
        <w:t>unding payments link spot and derivative markets. Abrupt shifts in funding often signal changes in trader positioning and leverage buildup, which precede bursts of volatility.</w:t>
      </w:r>
    </w:p>
    <w:p w14:paraId="1FBB5637">
      <w:pPr>
        <w:rPr>
          <w:rFonts w:hint="default"/>
          <w:lang w:val="en-US"/>
        </w:rPr>
      </w:pPr>
    </w:p>
    <w:p w14:paraId="5A207602">
      <w:pPr>
        <w:numPr>
          <w:numId w:val="0"/>
        </w:numPr>
        <w:ind w:leftChars="0"/>
        <w:rPr>
          <w:rFonts w:hint="default"/>
          <w:b/>
          <w:bCs/>
          <w:lang w:val="en-US"/>
        </w:rPr>
      </w:pPr>
      <w:r>
        <w:rPr>
          <w:rFonts w:hint="default"/>
          <w:b/>
          <w:bCs/>
          <w:lang w:val="en-US"/>
        </w:rPr>
        <w:t>4.The frequency of the data sampling your require</w:t>
      </w:r>
    </w:p>
    <w:p w14:paraId="2A17B019">
      <w:pPr>
        <w:rPr>
          <w:rFonts w:hint="default"/>
        </w:rPr>
      </w:pPr>
      <w:r>
        <w:rPr>
          <w:rFonts w:hint="default"/>
        </w:rPr>
        <w:t>Frequency: 1 minute frequency</w:t>
      </w:r>
    </w:p>
    <w:p w14:paraId="4D12B556">
      <w:pPr>
        <w:rPr>
          <w:rFonts w:hint="default"/>
          <w:lang w:val="en-US"/>
        </w:rPr>
      </w:pPr>
    </w:p>
    <w:p w14:paraId="3E1B5CDF">
      <w:pPr>
        <w:numPr>
          <w:numId w:val="0"/>
        </w:numPr>
        <w:ind w:leftChars="0"/>
        <w:rPr>
          <w:rFonts w:hint="default"/>
          <w:b/>
          <w:bCs/>
          <w:lang w:val="en-US"/>
        </w:rPr>
      </w:pPr>
      <w:r>
        <w:rPr>
          <w:rFonts w:hint="default"/>
          <w:b/>
          <w:bCs/>
          <w:lang w:val="en-US"/>
        </w:rPr>
        <w:t>5.The length of the data history you will need to backtest it</w:t>
      </w:r>
    </w:p>
    <w:p w14:paraId="76D86347">
      <w:pPr>
        <w:rPr>
          <w:rFonts w:hint="default" w:eastAsiaTheme="minorEastAsia"/>
          <w:lang w:val="en-US" w:eastAsia="zh-CN"/>
        </w:rPr>
      </w:pPr>
      <w:r>
        <w:rPr>
          <w:rFonts w:hint="default"/>
        </w:rPr>
        <w:t>Data History: 7 years (from 2018-2025)</w:t>
      </w:r>
      <w:r>
        <w:rPr>
          <w:rFonts w:hint="eastAsia"/>
          <w:lang w:val="en-US" w:eastAsia="zh-CN"/>
        </w:rPr>
        <w:t xml:space="preserve"> </w:t>
      </w:r>
      <w:r>
        <w:rPr>
          <w:rFonts w:hint="default"/>
          <w:lang w:val="en-US" w:eastAsia="zh-CN"/>
        </w:rPr>
        <w:t>Binance is founded in 2017.</w:t>
      </w:r>
    </w:p>
    <w:p w14:paraId="0761C5D4">
      <w:pPr>
        <w:rPr>
          <w:rFonts w:hint="default"/>
        </w:rPr>
      </w:pPr>
    </w:p>
    <w:p w14:paraId="2DF3FBA6">
      <w:pPr>
        <w:rPr>
          <w:rFonts w:hint="default"/>
          <w:b/>
          <w:bCs/>
          <w:sz w:val="24"/>
          <w:szCs w:val="32"/>
        </w:rPr>
      </w:pPr>
      <w:r>
        <w:rPr>
          <w:rFonts w:hint="default"/>
          <w:b/>
          <w:bCs/>
          <w:sz w:val="24"/>
          <w:szCs w:val="32"/>
        </w:rPr>
        <w:t>Prediction</w:t>
      </w:r>
    </w:p>
    <w:p w14:paraId="3D9F1EBD">
      <w:pPr>
        <w:rPr>
          <w:rFonts w:hint="default" w:eastAsiaTheme="minorEastAsia"/>
          <w:b/>
          <w:bCs/>
          <w:lang w:val="en-US" w:eastAsia="zh-CN"/>
        </w:rPr>
      </w:pPr>
      <w:r>
        <w:rPr>
          <w:rFonts w:hint="default"/>
          <w:b/>
          <w:bCs/>
          <w:lang w:val="en-US"/>
        </w:rPr>
        <w:t>1.Target variable or specific conditions</w:t>
      </w:r>
    </w:p>
    <w:p w14:paraId="297839C4">
      <w:pPr>
        <w:rPr>
          <w:rFonts w:hint="default"/>
          <w:lang w:val="en-US"/>
        </w:rPr>
      </w:pPr>
      <w:r>
        <w:rPr>
          <w:rFonts w:hint="default"/>
        </w:rPr>
        <w:t>Target variable: volatility</w:t>
      </w:r>
      <w:r>
        <w:rPr>
          <w:rFonts w:hint="default"/>
          <w:lang w:val="en-US"/>
        </w:rPr>
        <w:t>, our project goal is t</w:t>
      </w:r>
      <w:r>
        <w:rPr>
          <w:rFonts w:hint="default"/>
          <w:lang w:val="en-US" w:eastAsia="zh-CN"/>
        </w:rPr>
        <w:t>o build a high-performance machine learning model that predicts short-term volatility using 1-minute market microstructure data.</w:t>
      </w:r>
    </w:p>
    <w:p w14:paraId="34A91B8D">
      <w:pPr>
        <w:rPr>
          <w:rFonts w:hint="default"/>
          <w:lang w:val="en-US"/>
        </w:rPr>
      </w:pPr>
    </w:p>
    <w:p w14:paraId="01D03245">
      <w:pPr>
        <w:rPr>
          <w:rFonts w:hint="default"/>
          <w:b/>
          <w:bCs/>
          <w:lang w:val="en-US"/>
        </w:rPr>
      </w:pPr>
      <w:r>
        <w:rPr>
          <w:rFonts w:hint="default"/>
          <w:b/>
          <w:bCs/>
          <w:lang w:val="en-US"/>
        </w:rPr>
        <w:t>2.Prediction time horizon</w:t>
      </w:r>
    </w:p>
    <w:p w14:paraId="39DEA38B">
      <w:pPr>
        <w:rPr>
          <w:rFonts w:hint="default"/>
          <w:lang w:val="en-US"/>
        </w:rPr>
      </w:pPr>
      <w:r>
        <w:rPr>
          <w:rFonts w:hint="default"/>
        </w:rPr>
        <w:t>Prediction time horizon: short-term 15-60 minute or medium-term (1 day)</w:t>
      </w:r>
      <w:r>
        <w:rPr>
          <w:rFonts w:hint="default"/>
          <w:lang w:val="en-US"/>
        </w:rPr>
        <w:t xml:space="preserve">. </w:t>
      </w:r>
      <w:r>
        <w:rPr>
          <w:rFonts w:hint="default"/>
          <w:lang w:val="en-US" w:eastAsia="zh-CN"/>
        </w:rPr>
        <w:t>We target 15–60 minutes and 1 day to capture both intraday volatility bursts from order flow and broader daily risk dynamics, ensuring relevance for trading and risk management.</w:t>
      </w:r>
    </w:p>
    <w:p w14:paraId="45A91858">
      <w:pPr>
        <w:rPr>
          <w:rFonts w:hint="default" w:eastAsiaTheme="minorEastAsia"/>
          <w:lang w:val="en-US" w:eastAsia="zh-CN"/>
        </w:rPr>
      </w:pPr>
    </w:p>
    <w:p w14:paraId="4247FC70">
      <w:pPr>
        <w:rPr>
          <w:rFonts w:hint="default"/>
          <w:b/>
          <w:bCs/>
          <w:lang w:val="en-US"/>
        </w:rPr>
      </w:pPr>
      <w:r>
        <w:rPr>
          <w:rFonts w:hint="default"/>
          <w:b/>
          <w:bCs/>
          <w:lang w:val="en-US"/>
        </w:rPr>
        <w:t>3.Which false positives you are trying to avoid</w:t>
      </w:r>
    </w:p>
    <w:p w14:paraId="680807B2">
      <w:pPr>
        <w:rPr>
          <w:rFonts w:hint="default"/>
          <w:lang w:val="en-US"/>
        </w:rPr>
      </w:pPr>
      <w:r>
        <w:rPr>
          <w:rFonts w:hint="default"/>
        </w:rPr>
        <w:t>False Positives: predicted volatility &lt; actual volatility</w:t>
      </w:r>
      <w:r>
        <w:rPr>
          <w:rFonts w:hint="default"/>
          <w:lang w:val="en-US"/>
        </w:rPr>
        <w:t xml:space="preserve">. </w:t>
      </w:r>
      <w:r>
        <w:rPr>
          <w:rFonts w:hint="default"/>
          <w:lang w:val="en-US" w:eastAsia="zh-CN"/>
        </w:rPr>
        <w:t>We aim to avoid cases where predicted volatility is lower than actual volatility, since underestimation leads to insufficient risk buffers, unexpected losses, and poor trading or hedging decisions.</w:t>
      </w:r>
    </w:p>
    <w:p w14:paraId="5CE783D5">
      <w:pPr>
        <w:rPr>
          <w:rFonts w:hint="default"/>
          <w:lang w:val="en-US"/>
        </w:rPr>
      </w:pPr>
    </w:p>
    <w:p w14:paraId="50A0D215">
      <w:pPr>
        <w:numPr>
          <w:ilvl w:val="0"/>
          <w:numId w:val="2"/>
        </w:numPr>
        <w:rPr>
          <w:rFonts w:hint="default"/>
          <w:b/>
          <w:bCs/>
          <w:lang w:val="en-US"/>
        </w:rPr>
      </w:pPr>
      <w:r>
        <w:rPr>
          <w:rFonts w:hint="default"/>
          <w:b/>
          <w:bCs/>
          <w:lang w:val="en-US"/>
        </w:rPr>
        <w:t>Any complicating factors</w:t>
      </w:r>
    </w:p>
    <w:p w14:paraId="39E5F94F">
      <w:pPr>
        <w:rPr>
          <w:rFonts w:hint="default"/>
          <w:lang w:val="en-US"/>
        </w:rPr>
      </w:pPr>
      <w:r>
        <w:rPr>
          <w:rFonts w:hint="default"/>
        </w:rPr>
        <w:t>Complicating Factors: market sentiment</w:t>
      </w:r>
      <w:r>
        <w:rPr>
          <w:rFonts w:hint="default"/>
          <w:lang w:val="en-US"/>
        </w:rPr>
        <w:t xml:space="preserve">, this one </w:t>
      </w:r>
      <w:r>
        <w:rPr>
          <w:rFonts w:hint="default"/>
          <w:lang w:val="en-US" w:eastAsia="zh-CN"/>
        </w:rPr>
        <w:t>acts as a complicating factor because it can trigger sudden volatility spikes not reflected in order book or trade data. News, social media, or unexpected announcements may shift trader behavior rapidly, making volatility harder to predict using microstructure signals alone.</w:t>
      </w:r>
    </w:p>
    <w:p w14:paraId="5C961FC0">
      <w:pPr>
        <w:rPr>
          <w:rFonts w:hint="default"/>
        </w:rPr>
      </w:pPr>
    </w:p>
    <w:p w14:paraId="2215AA88">
      <w:pPr>
        <w:rPr>
          <w:rFonts w:hint="default"/>
          <w:b/>
          <w:bCs/>
          <w:sz w:val="24"/>
          <w:szCs w:val="32"/>
        </w:rPr>
      </w:pPr>
      <w:r>
        <w:rPr>
          <w:rFonts w:hint="default"/>
          <w:b/>
          <w:bCs/>
          <w:sz w:val="24"/>
          <w:szCs w:val="32"/>
        </w:rPr>
        <w:t xml:space="preserve">Feature Construction </w:t>
      </w:r>
    </w:p>
    <w:p w14:paraId="6319ACD7">
      <w:pPr>
        <w:numPr>
          <w:ilvl w:val="0"/>
          <w:numId w:val="3"/>
        </w:numPr>
        <w:rPr>
          <w:rFonts w:hint="default"/>
          <w:b/>
          <w:bCs/>
          <w:lang w:val="en-US"/>
        </w:rPr>
      </w:pPr>
      <w:r>
        <w:rPr>
          <w:rFonts w:hint="default"/>
          <w:b/>
          <w:bCs/>
          <w:lang w:val="en-US"/>
        </w:rPr>
        <w:t xml:space="preserve">List the features you will be considering for your signal </w:t>
      </w:r>
    </w:p>
    <w:p w14:paraId="48D1BD42">
      <w:pPr>
        <w:numPr>
          <w:ilvl w:val="0"/>
          <w:numId w:val="3"/>
        </w:numPr>
        <w:rPr>
          <w:rFonts w:hint="default"/>
          <w:b/>
          <w:bCs/>
          <w:lang w:val="en-US"/>
        </w:rPr>
      </w:pPr>
      <w:r>
        <w:rPr>
          <w:rFonts w:hint="default"/>
          <w:b/>
          <w:bCs/>
          <w:lang w:val="en-US"/>
        </w:rPr>
        <w:t>Write the spec for each feature, be as detailed as possible</w:t>
      </w:r>
    </w:p>
    <w:p w14:paraId="5B44E2EE">
      <w:pPr>
        <w:numPr>
          <w:ilvl w:val="0"/>
          <w:numId w:val="3"/>
        </w:numPr>
        <w:rPr>
          <w:rFonts w:hint="default"/>
          <w:b/>
          <w:bCs/>
          <w:lang w:val="en-US"/>
        </w:rPr>
      </w:pPr>
      <w:r>
        <w:rPr>
          <w:rFonts w:hint="default"/>
          <w:b/>
          <w:bCs/>
          <w:lang w:val="en-US"/>
        </w:rPr>
        <w:t>Explain what is the value range you expect from each feature</w:t>
      </w:r>
    </w:p>
    <w:p w14:paraId="55ABE674">
      <w:pPr>
        <w:numPr>
          <w:numId w:val="0"/>
        </w:numPr>
        <w:rPr>
          <w:rFonts w:hint="default"/>
          <w:lang w:val="en-US"/>
        </w:rPr>
      </w:pPr>
      <w:r>
        <w:rPr>
          <w:rFonts w:hint="default"/>
          <w:lang w:val="en-US"/>
        </w:rPr>
        <w:t>the above 3 questions can be answered by the tables below:</w:t>
      </w:r>
    </w:p>
    <w:tbl>
      <w:tblPr>
        <w:tblW w:w="488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33"/>
        <w:gridCol w:w="1552"/>
        <w:gridCol w:w="1668"/>
        <w:gridCol w:w="2809"/>
        <w:gridCol w:w="997"/>
      </w:tblGrid>
      <w:tr w14:paraId="550455EB">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F15F5E4">
            <w:pPr>
              <w:numPr>
                <w:numId w:val="0"/>
              </w:numPr>
              <w:rPr>
                <w:rFonts w:hint="default"/>
                <w:lang w:val="en-US"/>
              </w:rPr>
            </w:pPr>
            <w:r>
              <w:rPr>
                <w:rFonts w:hint="default"/>
                <w:lang w:val="en-US"/>
              </w:rPr>
              <w:t>Level</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3504773">
            <w:pPr>
              <w:numPr>
                <w:numId w:val="0"/>
              </w:numPr>
              <w:rPr>
                <w:rFonts w:hint="default"/>
                <w:lang w:val="en-US"/>
              </w:rPr>
            </w:pPr>
            <w:r>
              <w:rPr>
                <w:rFonts w:hint="default"/>
                <w:lang w:val="en-US"/>
              </w:rPr>
              <w:t>Feature Name</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C8DA8D5">
            <w:pPr>
              <w:numPr>
                <w:numId w:val="0"/>
              </w:numPr>
              <w:rPr>
                <w:rFonts w:hint="default"/>
                <w:lang w:val="en-US"/>
              </w:rPr>
            </w:pPr>
            <w:r>
              <w:rPr>
                <w:rFonts w:hint="default"/>
                <w:lang w:val="en-US"/>
              </w:rPr>
              <w:t>Formula / Specification</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6F5F2C0D">
            <w:pPr>
              <w:numPr>
                <w:numId w:val="0"/>
              </w:numPr>
              <w:rPr>
                <w:rFonts w:hint="default"/>
                <w:lang w:val="en-US"/>
              </w:rPr>
            </w:pPr>
            <w:r>
              <w:rPr>
                <w:rFonts w:hint="default"/>
                <w:lang w:val="en-US"/>
              </w:rPr>
              <w:t>Theoretical Rationale</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50043978">
            <w:pPr>
              <w:numPr>
                <w:numId w:val="0"/>
              </w:numPr>
              <w:rPr>
                <w:rFonts w:hint="default"/>
                <w:lang w:val="en-US"/>
              </w:rPr>
            </w:pPr>
            <w:r>
              <w:rPr>
                <w:rFonts w:hint="default"/>
                <w:lang w:val="en-US"/>
              </w:rPr>
              <w:t>Expected Value Range</w:t>
            </w:r>
          </w:p>
        </w:tc>
      </w:tr>
      <w:tr w14:paraId="444F7CC9">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D6C5FD1">
            <w:pPr>
              <w:numPr>
                <w:numId w:val="0"/>
              </w:numPr>
              <w:rPr>
                <w:rFonts w:hint="default"/>
                <w:lang w:val="en-US"/>
              </w:rPr>
            </w:pPr>
            <w:r>
              <w:rPr>
                <w:rFonts w:hint="default"/>
                <w:lang w:val="en-US"/>
              </w:rPr>
              <w:t>1: Basic</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E79CF7A">
            <w:pPr>
              <w:numPr>
                <w:numId w:val="0"/>
              </w:numPr>
              <w:rPr>
                <w:rFonts w:hint="default"/>
                <w:lang w:val="en-US"/>
              </w:rPr>
            </w:pPr>
            <w:r>
              <w:rPr>
                <w:rFonts w:hint="default"/>
                <w:lang w:val="en-US"/>
              </w:rPr>
              <w:t>OFI_raw</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70BD063">
            <w:pPr>
              <w:numPr>
                <w:numId w:val="0"/>
              </w:numPr>
              <w:rPr>
                <w:rFonts w:hint="default"/>
                <w:lang w:val="en-US"/>
              </w:rPr>
            </w:pPr>
            <w:r>
              <w:rPr>
                <w:rFonts w:hint="default"/>
                <w:lang w:val="en-US"/>
              </w:rPr>
              <w:t>buy_volume - sell_volume</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70E473EA">
            <w:pPr>
              <w:numPr>
                <w:numId w:val="0"/>
              </w:numPr>
              <w:rPr>
                <w:rFonts w:hint="default"/>
                <w:lang w:val="en-US"/>
              </w:rPr>
            </w:pPr>
            <w:r>
              <w:rPr>
                <w:rFonts w:hint="default"/>
                <w:lang w:val="en-US"/>
              </w:rPr>
              <w:t>(Order Flow Imbalance) Measures the net pressure from aggressive market orders. A high absolute value signifies strong directional pressure, which often precedes increased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7402B815">
            <w:pPr>
              <w:numPr>
                <w:numId w:val="0"/>
              </w:numPr>
              <w:rPr>
                <w:rFonts w:hint="default"/>
                <w:lang w:val="en-US"/>
              </w:rPr>
            </w:pPr>
            <w:r>
              <w:rPr>
                <w:rFonts w:hint="default"/>
                <w:lang w:val="en-US" w:eastAsia="zh-CN"/>
              </w:rPr>
              <w:t>[−10</w:t>
            </w:r>
            <w:r>
              <w:rPr>
                <w:rFonts w:hint="default"/>
                <w:vertAlign w:val="superscript"/>
                <w:lang w:val="en-US" w:eastAsia="zh-CN"/>
              </w:rPr>
              <w:t>2</w:t>
            </w:r>
            <w:r>
              <w:rPr>
                <w:rFonts w:hint="default"/>
                <w:lang w:val="en-US" w:eastAsia="zh-CN"/>
              </w:rPr>
              <w:t>,10</w:t>
            </w:r>
            <w:r>
              <w:rPr>
                <w:rFonts w:hint="default"/>
                <w:vertAlign w:val="superscript"/>
                <w:lang w:val="en-US" w:eastAsia="zh-CN"/>
              </w:rPr>
              <w:t>3</w:t>
            </w:r>
            <w:r>
              <w:rPr>
                <w:rFonts w:hint="default"/>
                <w:lang w:val="en-US" w:eastAsia="zh-CN"/>
              </w:rPr>
              <w:t>]</w:t>
            </w:r>
          </w:p>
          <w:p w14:paraId="7F588A07">
            <w:pPr>
              <w:numPr>
                <w:numId w:val="0"/>
              </w:numPr>
              <w:rPr>
                <w:rFonts w:hint="default"/>
                <w:lang w:val="en-US"/>
              </w:rPr>
            </w:pPr>
          </w:p>
        </w:tc>
      </w:tr>
      <w:tr w14:paraId="4E395811">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E6BBA27">
            <w:pPr>
              <w:numPr>
                <w:numId w:val="0"/>
              </w:numPr>
              <w:rPr>
                <w:rFonts w:hint="default"/>
                <w:lang w:val="en-US"/>
              </w:rPr>
            </w:pPr>
            <w:r>
              <w:rPr>
                <w:rFonts w:hint="default"/>
                <w:lang w:val="en-US"/>
              </w:rPr>
              <w:t>1: Basic</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8BD8F68">
            <w:pPr>
              <w:numPr>
                <w:numId w:val="0"/>
              </w:numPr>
              <w:rPr>
                <w:rFonts w:hint="default"/>
                <w:lang w:val="en-US"/>
              </w:rPr>
            </w:pPr>
            <w:r>
              <w:rPr>
                <w:rFonts w:hint="default"/>
                <w:lang w:val="en-US"/>
              </w:rPr>
              <w:t>L1_Imbalance</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191FB20">
            <w:pPr>
              <w:numPr>
                <w:numId w:val="0"/>
              </w:numPr>
              <w:rPr>
                <w:rFonts w:hint="default"/>
                <w:lang w:val="en-US"/>
              </w:rPr>
            </w:pPr>
            <w:r>
              <w:rPr>
                <w:rFonts w:hint="default"/>
                <w:lang w:val="en-US"/>
              </w:rPr>
              <w:t>(close_bid_size - close_ask_size) / (close_bid_size + close_ask_size)</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62CBE17">
            <w:pPr>
              <w:numPr>
                <w:numId w:val="0"/>
              </w:numPr>
              <w:rPr>
                <w:rFonts w:hint="default"/>
                <w:lang w:val="en-US"/>
              </w:rPr>
            </w:pPr>
            <w:r>
              <w:rPr>
                <w:rFonts w:hint="default"/>
                <w:lang w:val="en-US"/>
              </w:rPr>
              <w:t>(Limit Order Book Imbalance) Captures the imbalance of passive liquidity at the best bid and ask. A severe imbalance may indicate a weakening of support/resistance, leading to higher price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2F7BC96F">
            <w:pPr>
              <w:numPr>
                <w:numId w:val="0"/>
              </w:numPr>
              <w:rPr>
                <w:rFonts w:hint="default"/>
                <w:lang w:val="en-US"/>
              </w:rPr>
            </w:pPr>
            <w:r>
              <w:rPr>
                <w:rFonts w:hint="default"/>
                <w:lang w:val="en-US" w:eastAsia="zh-CN"/>
              </w:rPr>
              <w:t>[−1,1]</w:t>
            </w:r>
          </w:p>
          <w:p w14:paraId="3F94CF48">
            <w:pPr>
              <w:numPr>
                <w:numId w:val="0"/>
              </w:numPr>
              <w:rPr>
                <w:rFonts w:hint="default"/>
                <w:lang w:val="en-US"/>
              </w:rPr>
            </w:pPr>
          </w:p>
        </w:tc>
      </w:tr>
      <w:tr w14:paraId="65B80563">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9E7F632">
            <w:pPr>
              <w:numPr>
                <w:numId w:val="0"/>
              </w:numPr>
              <w:rPr>
                <w:rFonts w:hint="default"/>
                <w:lang w:val="en-US"/>
              </w:rPr>
            </w:pPr>
            <w:r>
              <w:rPr>
                <w:rFonts w:hint="default"/>
                <w:lang w:val="en-US"/>
              </w:rPr>
              <w:t>1: Basic</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2026FEA">
            <w:pPr>
              <w:numPr>
                <w:numId w:val="0"/>
              </w:numPr>
              <w:rPr>
                <w:rFonts w:hint="default"/>
                <w:lang w:val="en-US"/>
              </w:rPr>
            </w:pPr>
            <w:r>
              <w:rPr>
                <w:rFonts w:hint="default"/>
                <w:lang w:val="en-US"/>
              </w:rPr>
              <w:t>VWAP_deviation</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E008B18">
            <w:pPr>
              <w:numPr>
                <w:numId w:val="0"/>
              </w:numPr>
              <w:rPr>
                <w:rFonts w:hint="default"/>
                <w:lang w:val="en-US"/>
              </w:rPr>
            </w:pPr>
            <w:r>
              <w:rPr>
                <w:rFonts w:hint="default"/>
                <w:lang w:val="en-US"/>
              </w:rPr>
              <w:t>(close_price - vwap) / close_price</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5A7C1C7">
            <w:pPr>
              <w:numPr>
                <w:numId w:val="0"/>
              </w:numPr>
              <w:rPr>
                <w:rFonts w:hint="default"/>
                <w:lang w:val="en-US"/>
              </w:rPr>
            </w:pPr>
            <w:r>
              <w:rPr>
                <w:rFonts w:hint="default"/>
                <w:lang w:val="en-US"/>
              </w:rPr>
              <w:t>(VWAP Deviation) Shows how far the current price has strayed from the volume-weighted average price. Large deviations may lead to mean-reversion movements, a form of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AFE1198">
            <w:pPr>
              <w:numPr>
                <w:numId w:val="0"/>
              </w:numPr>
              <w:rPr>
                <w:rFonts w:hint="default"/>
                <w:lang w:val="en-US"/>
              </w:rPr>
            </w:pPr>
            <w:r>
              <w:rPr>
                <w:rFonts w:hint="default"/>
                <w:lang w:val="en-US" w:eastAsia="zh-CN"/>
              </w:rPr>
              <w:t>[−0.05,0.05]</w:t>
            </w:r>
          </w:p>
          <w:p w14:paraId="7E251DEF">
            <w:pPr>
              <w:numPr>
                <w:numId w:val="0"/>
              </w:numPr>
              <w:rPr>
                <w:rFonts w:hint="default"/>
                <w:lang w:val="en-US"/>
              </w:rPr>
            </w:pPr>
          </w:p>
        </w:tc>
      </w:tr>
      <w:tr w14:paraId="7665A1B1">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A2D0CC8">
            <w:pPr>
              <w:numPr>
                <w:numId w:val="0"/>
              </w:numPr>
              <w:rPr>
                <w:rFonts w:hint="default"/>
                <w:lang w:val="en-US"/>
              </w:rPr>
            </w:pPr>
            <w:r>
              <w:rPr>
                <w:rFonts w:hint="default"/>
                <w:lang w:val="en-US"/>
              </w:rPr>
              <w:t>1: Basic</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96E08CB">
            <w:pPr>
              <w:numPr>
                <w:numId w:val="0"/>
              </w:numPr>
              <w:rPr>
                <w:rFonts w:hint="default"/>
                <w:lang w:val="en-US"/>
              </w:rPr>
            </w:pPr>
            <w:r>
              <w:rPr>
                <w:rFonts w:hint="default"/>
                <w:lang w:val="en-US"/>
              </w:rPr>
              <w:t>Mean_Spread</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EC5C204">
            <w:pPr>
              <w:numPr>
                <w:numId w:val="0"/>
              </w:numPr>
              <w:rPr>
                <w:rFonts w:hint="default"/>
                <w:lang w:val="en-US"/>
              </w:rPr>
            </w:pPr>
            <w:r>
              <w:rPr>
                <w:rFonts w:hint="default"/>
                <w:lang w:val="en-US"/>
              </w:rPr>
              <w:t>mean_spread</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32774ACC">
            <w:pPr>
              <w:numPr>
                <w:numId w:val="0"/>
              </w:numPr>
              <w:rPr>
                <w:rFonts w:hint="default"/>
                <w:lang w:val="en-US"/>
              </w:rPr>
            </w:pPr>
            <w:r>
              <w:rPr>
                <w:rFonts w:hint="default"/>
                <w:lang w:val="en-US"/>
              </w:rPr>
              <w:t>(Average Bid-Ask Spread) Represents market liquidity and transaction costs. A widening spread signals that liquidity providers perceive higher risk, which is strongly correlated with rising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6C315AE9">
            <w:pPr>
              <w:numPr>
                <w:numId w:val="0"/>
              </w:numPr>
              <w:rPr>
                <w:rFonts w:hint="default"/>
                <w:lang w:val="en-US"/>
              </w:rPr>
            </w:pPr>
            <w:r>
              <w:rPr>
                <w:rFonts w:hint="default"/>
                <w:lang w:val="en-US" w:eastAsia="zh-CN"/>
              </w:rPr>
              <w:t>0.01%–0.1%</w:t>
            </w:r>
          </w:p>
          <w:p w14:paraId="6480D7FA">
            <w:pPr>
              <w:numPr>
                <w:numId w:val="0"/>
              </w:numPr>
              <w:rPr>
                <w:rFonts w:hint="default"/>
                <w:lang w:val="en-US"/>
              </w:rPr>
            </w:pPr>
          </w:p>
        </w:tc>
      </w:tr>
      <w:tr w14:paraId="220E39F1">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A56E109">
            <w:pPr>
              <w:numPr>
                <w:numId w:val="0"/>
              </w:numPr>
              <w:rPr>
                <w:rFonts w:hint="default"/>
                <w:lang w:val="en-US"/>
              </w:rPr>
            </w:pPr>
            <w:r>
              <w:rPr>
                <w:rFonts w:hint="default"/>
                <w:lang w:val="en-US"/>
              </w:rPr>
              <w:t>1: Basic</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629E750">
            <w:pPr>
              <w:numPr>
                <w:numId w:val="0"/>
              </w:numPr>
              <w:rPr>
                <w:rFonts w:hint="default"/>
                <w:lang w:val="en-US"/>
              </w:rPr>
            </w:pPr>
            <w:r>
              <w:rPr>
                <w:rFonts w:hint="default"/>
                <w:lang w:val="en-US"/>
              </w:rPr>
              <w:t>VPIN_proxy</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E43F882">
            <w:pPr>
              <w:numPr>
                <w:numId w:val="0"/>
              </w:numPr>
              <w:rPr>
                <w:rFonts w:hint="default"/>
                <w:lang w:val="en-US"/>
              </w:rPr>
            </w:pPr>
            <w:r>
              <w:rPr>
                <w:rFonts w:hint="default"/>
                <w:lang w:val="en-US"/>
              </w:rPr>
              <w:t>50-minute rolling sum of `</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776E6312">
            <w:pPr>
              <w:numPr>
                <w:numId w:val="0"/>
              </w:numPr>
              <w:rPr>
                <w:rFonts w:hint="default"/>
                <w:lang w:val="en-US"/>
              </w:rPr>
            </w:pPr>
            <w:r>
              <w:rPr>
                <w:rFonts w:hint="default"/>
                <w:lang w:val="en-US"/>
              </w:rPr>
              <w:t>buy_volume - sell_volume</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21B0334">
            <w:pPr>
              <w:numPr>
                <w:numId w:val="0"/>
              </w:numPr>
              <w:rPr>
                <w:rFonts w:hint="default"/>
                <w:lang w:val="en-US"/>
              </w:rPr>
            </w:pPr>
            <w:r>
              <w:rPr>
                <w:rFonts w:hint="default"/>
                <w:lang w:val="en-US" w:eastAsia="zh-CN"/>
              </w:rPr>
              <w:t>[0,1]</w:t>
            </w:r>
          </w:p>
          <w:p w14:paraId="794B2D36">
            <w:pPr>
              <w:numPr>
                <w:numId w:val="0"/>
              </w:numPr>
              <w:rPr>
                <w:rFonts w:hint="default"/>
                <w:lang w:val="en-US"/>
              </w:rPr>
            </w:pPr>
          </w:p>
        </w:tc>
      </w:tr>
      <w:tr w14:paraId="1BEF1147">
        <w:trPr>
          <w:trHeight w:val="686"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4C04B3E">
            <w:pPr>
              <w:numPr>
                <w:numId w:val="0"/>
              </w:numPr>
              <w:rPr>
                <w:rFonts w:hint="default"/>
                <w:lang w:val="en-US"/>
              </w:rPr>
            </w:pPr>
            <w:r>
              <w:rPr>
                <w:rFonts w:hint="default"/>
                <w:lang w:val="en-US"/>
              </w:rPr>
              <w:t>2: Derived</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69287473">
            <w:pPr>
              <w:numPr>
                <w:numId w:val="0"/>
              </w:numPr>
              <w:rPr>
                <w:rFonts w:hint="default"/>
                <w:lang w:val="en-US"/>
              </w:rPr>
            </w:pPr>
            <w:r>
              <w:rPr>
                <w:rFonts w:hint="default"/>
                <w:lang w:val="en-US"/>
              </w:rPr>
              <w:t>OFI_std_30m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1A374E8D">
            <w:pPr>
              <w:numPr>
                <w:numId w:val="0"/>
              </w:numPr>
              <w:rPr>
                <w:rFonts w:hint="default"/>
                <w:lang w:val="en-US"/>
              </w:rPr>
            </w:pPr>
            <w:r>
              <w:rPr>
                <w:rFonts w:hint="default"/>
                <w:lang w:val="en-US"/>
              </w:rPr>
              <w:t>30-min rolling standard deviation of OFI_raw</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22A04747">
            <w:pPr>
              <w:numPr>
                <w:numId w:val="0"/>
              </w:numPr>
              <w:rPr>
                <w:rFonts w:hint="default"/>
                <w:lang w:val="en-US"/>
              </w:rPr>
            </w:pPr>
            <w:r>
              <w:rPr>
                <w:rFonts w:hint="default"/>
                <w:lang w:val="en-US"/>
              </w:rPr>
              <w:t>(OFI Stability) Measures the stability of order flow. A high value indicates that order flow is erratic and unpredictable, suggesting impending market instability and higher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1CA3A3D2">
            <w:pPr>
              <w:numPr>
                <w:numId w:val="0"/>
              </w:numPr>
              <w:rPr>
                <w:rFonts w:hint="default"/>
                <w:lang w:val="en-US"/>
              </w:rPr>
            </w:pPr>
            <w:r>
              <w:rPr>
                <w:rFonts w:hint="default"/>
                <w:lang w:val="en-US" w:eastAsia="zh-CN"/>
              </w:rPr>
              <w:t>typically an order of magnitude smaller than the underlying feature</w:t>
            </w:r>
          </w:p>
          <w:p w14:paraId="5492E5F1">
            <w:pPr>
              <w:numPr>
                <w:numId w:val="0"/>
              </w:numPr>
              <w:rPr>
                <w:rFonts w:hint="default"/>
                <w:lang w:val="en-US"/>
              </w:rPr>
            </w:pPr>
          </w:p>
        </w:tc>
      </w:tr>
      <w:tr w14:paraId="7E37351B">
        <w:trPr>
          <w:trHeight w:val="1925"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F4CC8C8">
            <w:pPr>
              <w:numPr>
                <w:numId w:val="0"/>
              </w:numPr>
              <w:rPr>
                <w:rFonts w:hint="default"/>
                <w:lang w:val="en-US"/>
              </w:rPr>
            </w:pPr>
            <w:r>
              <w:rPr>
                <w:rFonts w:hint="default"/>
                <w:lang w:val="en-US"/>
              </w:rPr>
              <w:t>2: Derived</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55D5FF3">
            <w:pPr>
              <w:numPr>
                <w:numId w:val="0"/>
              </w:numPr>
              <w:rPr>
                <w:rFonts w:hint="default"/>
                <w:lang w:val="en-US"/>
              </w:rPr>
            </w:pPr>
            <w:r>
              <w:rPr>
                <w:rFonts w:hint="default"/>
                <w:lang w:val="en-US"/>
              </w:rPr>
              <w:t>Spread_ma_15m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4297997C">
            <w:pPr>
              <w:numPr>
                <w:numId w:val="0"/>
              </w:numPr>
              <w:rPr>
                <w:rFonts w:hint="default"/>
                <w:lang w:val="en-US"/>
              </w:rPr>
            </w:pPr>
            <w:r>
              <w:rPr>
                <w:rFonts w:hint="default"/>
                <w:lang w:val="en-US"/>
              </w:rPr>
              <w:t>15-min moving average of Mean_Spread</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6F03A98B">
            <w:pPr>
              <w:numPr>
                <w:numId w:val="0"/>
              </w:numPr>
              <w:rPr>
                <w:rFonts w:hint="default"/>
                <w:lang w:val="en-US"/>
              </w:rPr>
            </w:pPr>
            <w:r>
              <w:rPr>
                <w:rFonts w:hint="default"/>
                <w:lang w:val="en-US"/>
              </w:rPr>
              <w:t>(Spread Trend) Captures the recent trend in transaction costs. A rising trend suggests a gradual withdrawal of liquidity and a potential shift into a higher volatility regime.</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2DE6600">
            <w:pPr>
              <w:numPr>
                <w:numId w:val="0"/>
              </w:numPr>
              <w:rPr>
                <w:rFonts w:hint="default"/>
                <w:lang w:val="en-US"/>
              </w:rPr>
            </w:pPr>
            <w:r>
              <w:rPr>
                <w:rFonts w:hint="default"/>
                <w:lang w:val="en-US" w:eastAsia="zh-CN"/>
              </w:rPr>
              <w:t>values fluctuate around the mean of</w:t>
            </w:r>
            <w:r>
              <w:rPr>
                <w:rFonts w:hint="eastAsia"/>
                <w:lang w:val="en-US" w:eastAsia="zh-CN"/>
              </w:rPr>
              <w:t xml:space="preserve"> </w:t>
            </w:r>
            <w:r>
              <w:rPr>
                <w:rFonts w:hint="default"/>
                <w:lang w:val="en-US" w:eastAsia="zh-CN"/>
              </w:rPr>
              <w:t>the base feature</w:t>
            </w:r>
          </w:p>
          <w:p w14:paraId="6634BCDD">
            <w:pPr>
              <w:numPr>
                <w:numId w:val="0"/>
              </w:numPr>
              <w:rPr>
                <w:rFonts w:hint="default"/>
                <w:lang w:val="en-US"/>
              </w:rPr>
            </w:pPr>
          </w:p>
        </w:tc>
      </w:tr>
      <w:tr w14:paraId="64035D48">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633993FF">
            <w:pPr>
              <w:numPr>
                <w:numId w:val="0"/>
              </w:numPr>
              <w:rPr>
                <w:rFonts w:hint="default"/>
                <w:lang w:val="en-US"/>
              </w:rPr>
            </w:pPr>
            <w:r>
              <w:rPr>
                <w:rFonts w:hint="default"/>
                <w:lang w:val="en-US"/>
              </w:rPr>
              <w:t>2: Derived</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6F2B83C">
            <w:pPr>
              <w:numPr>
                <w:numId w:val="0"/>
              </w:numPr>
              <w:rPr>
                <w:rFonts w:hint="default"/>
                <w:lang w:val="en-US"/>
              </w:rPr>
            </w:pPr>
            <w:r>
              <w:rPr>
                <w:rFonts w:hint="default"/>
                <w:lang w:val="en-US"/>
              </w:rPr>
              <w:t>OFI_roc_10m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838B1E0">
            <w:pPr>
              <w:numPr>
                <w:numId w:val="0"/>
              </w:numPr>
              <w:rPr>
                <w:rFonts w:hint="default"/>
                <w:lang w:val="en-US"/>
              </w:rPr>
            </w:pPr>
            <w:r>
              <w:rPr>
                <w:rFonts w:hint="default"/>
                <w:lang w:val="en-US"/>
              </w:rPr>
              <w:t>(OFI_raw_t - OFI_raw_{t-10}) / OFI_raw_{t-10}</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3A978E9">
            <w:pPr>
              <w:numPr>
                <w:numId w:val="0"/>
              </w:numPr>
              <w:rPr>
                <w:rFonts w:hint="default"/>
                <w:lang w:val="en-US"/>
              </w:rPr>
            </w:pPr>
            <w:r>
              <w:rPr>
                <w:rFonts w:hint="default"/>
                <w:lang w:val="en-US"/>
              </w:rPr>
              <w:t>(Rate of Change of OFI) Measures the 'acceleration' of order flow pressure. A rapid increase in OFI can be a more potent predictor of imminent volatility than a high but stable OFI level.</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730C9BDC">
            <w:pPr>
              <w:numPr>
                <w:numId w:val="0"/>
              </w:numPr>
              <w:rPr>
                <w:rFonts w:hint="default"/>
                <w:lang w:val="en-US"/>
              </w:rPr>
            </w:pPr>
            <w:r>
              <w:rPr>
                <w:rFonts w:hint="default"/>
                <w:lang w:val="en-US" w:eastAsia="zh-CN"/>
              </w:rPr>
              <w:t>typically an order of magnitude smaller than the underlying feature</w:t>
            </w:r>
          </w:p>
          <w:p w14:paraId="0260177D">
            <w:pPr>
              <w:numPr>
                <w:numId w:val="0"/>
              </w:numPr>
              <w:rPr>
                <w:rFonts w:hint="default"/>
                <w:lang w:val="en-US"/>
              </w:rPr>
            </w:pPr>
          </w:p>
        </w:tc>
      </w:tr>
      <w:tr w14:paraId="03B2D1BD">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2E5AF1F">
            <w:pPr>
              <w:numPr>
                <w:numId w:val="0"/>
              </w:numPr>
              <w:rPr>
                <w:rFonts w:hint="default"/>
                <w:lang w:val="en-US"/>
              </w:rPr>
            </w:pPr>
            <w:r>
              <w:rPr>
                <w:rFonts w:hint="default"/>
                <w:lang w:val="en-US"/>
              </w:rPr>
              <w:t>3: Interaction</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4996D4DF">
            <w:pPr>
              <w:numPr>
                <w:numId w:val="0"/>
              </w:numPr>
              <w:rPr>
                <w:rFonts w:hint="default"/>
                <w:lang w:val="en-US"/>
              </w:rPr>
            </w:pPr>
            <w:r>
              <w:rPr>
                <w:rFonts w:hint="default"/>
                <w:lang w:val="en-US"/>
              </w:rPr>
              <w:t>Liquidity_Weighted_OFI</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1A052EEF">
            <w:pPr>
              <w:numPr>
                <w:numId w:val="0"/>
              </w:numPr>
              <w:rPr>
                <w:rFonts w:hint="default"/>
                <w:lang w:val="en-US"/>
              </w:rPr>
            </w:pPr>
            <w:r>
              <w:rPr>
                <w:rFonts w:hint="default"/>
                <w:lang w:val="en-US"/>
              </w:rPr>
              <w:t>OFI_raw / Mean_Spread</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9ED943D">
            <w:pPr>
              <w:numPr>
                <w:numId w:val="0"/>
              </w:numPr>
              <w:rPr>
                <w:rFonts w:hint="default"/>
                <w:lang w:val="en-US"/>
              </w:rPr>
            </w:pPr>
            <w:r>
              <w:rPr>
                <w:rFonts w:hint="default"/>
                <w:lang w:val="en-US"/>
              </w:rPr>
              <w:t>(Liquidity-Weighted OFI) Tests the hypothesis that order flow has a greater price impact in illiquid markets. An imbalance during periods of wide spreads is expected to be amplified, causing more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26282A87">
            <w:pPr>
              <w:keepNext w:val="0"/>
              <w:keepLines w:val="0"/>
              <w:widowControl/>
              <w:suppressLineNumbers w:val="0"/>
              <w:jc w:val="left"/>
            </w:pPr>
            <w:r>
              <w:rPr>
                <w:rFonts w:hint="eastAsia"/>
                <w:lang w:val="en-US" w:eastAsia="zh-CN"/>
              </w:rPr>
              <w:t>1</w:t>
            </w:r>
            <w:r>
              <w:rPr>
                <w:rFonts w:hint="default"/>
                <w:lang w:val="en-US" w:eastAsia="zh-CN"/>
              </w:rPr>
              <w:t>0</w:t>
            </w:r>
            <w:r>
              <w:rPr>
                <w:rFonts w:hint="default"/>
                <w:vertAlign w:val="superscript"/>
                <w:lang w:val="en-US" w:eastAsia="zh-CN"/>
              </w:rPr>
              <w:t>2</w:t>
            </w:r>
            <w:r>
              <w:rPr>
                <w:rFonts w:hint="default"/>
                <w:lang w:val="en-US" w:eastAsia="zh-CN"/>
              </w:rPr>
              <w:t>–10</w:t>
            </w:r>
            <w:r>
              <w:rPr>
                <w:rFonts w:hint="default"/>
                <w:vertAlign w:val="superscript"/>
                <w:lang w:val="en-US" w:eastAsia="zh-CN"/>
              </w:rPr>
              <w:t>4</w:t>
            </w:r>
          </w:p>
          <w:p w14:paraId="611988CB">
            <w:pPr>
              <w:numPr>
                <w:numId w:val="0"/>
              </w:numPr>
              <w:rPr>
                <w:rFonts w:hint="default"/>
                <w:lang w:val="en-US"/>
              </w:rPr>
            </w:pPr>
          </w:p>
        </w:tc>
      </w:tr>
      <w:tr w14:paraId="445E7EF0">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918EABE">
            <w:pPr>
              <w:numPr>
                <w:numId w:val="0"/>
              </w:numPr>
              <w:rPr>
                <w:rFonts w:hint="default"/>
                <w:lang w:val="en-US"/>
              </w:rPr>
            </w:pPr>
            <w:r>
              <w:rPr>
                <w:rFonts w:hint="default"/>
                <w:lang w:val="en-US"/>
              </w:rPr>
              <w:t>3. Interaction</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2CBE896">
            <w:pPr>
              <w:numPr>
                <w:numId w:val="0"/>
              </w:numPr>
              <w:rPr>
                <w:rFonts w:hint="default"/>
                <w:lang w:val="en-US"/>
              </w:rPr>
            </w:pPr>
            <w:r>
              <w:rPr>
                <w:rFonts w:hint="default"/>
                <w:lang w:val="en-US"/>
              </w:rPr>
              <w:t>Trade_Intensity</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A4EB63F">
            <w:pPr>
              <w:numPr>
                <w:numId w:val="0"/>
              </w:numPr>
              <w:rPr>
                <w:rFonts w:hint="default"/>
                <w:lang w:val="en-US"/>
              </w:rPr>
            </w:pPr>
            <w:r>
              <w:rPr>
                <w:rFonts w:hint="default"/>
                <w:lang w:val="en-US"/>
              </w:rPr>
              <w:t>(buy_volume + sell_volume) / (buy_trade_count + sell_trade_count)</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43176D6">
            <w:pPr>
              <w:numPr>
                <w:numId w:val="0"/>
              </w:numPr>
              <w:rPr>
                <w:rFonts w:hint="default"/>
                <w:lang w:val="en-US"/>
              </w:rPr>
            </w:pPr>
            <w:r>
              <w:rPr>
                <w:rFonts w:hint="default"/>
                <w:lang w:val="en-US"/>
              </w:rPr>
              <w:t>(Average Trade Size) Differentiates between markets dominated by large institutional trades versus smaller retail trades. High intensity may signal informed trading, which can lead to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3BF85B38">
            <w:pPr>
              <w:numPr>
                <w:numId w:val="0"/>
              </w:numPr>
              <w:rPr>
                <w:rFonts w:hint="default"/>
                <w:lang w:val="en-US"/>
              </w:rPr>
            </w:pPr>
            <w:r>
              <w:rPr>
                <w:rFonts w:hint="default"/>
                <w:lang w:val="en-US" w:eastAsia="zh-CN"/>
              </w:rPr>
              <w:t>[1, 1000]</w:t>
            </w:r>
          </w:p>
          <w:p w14:paraId="0A35FAE9">
            <w:pPr>
              <w:numPr>
                <w:numId w:val="0"/>
              </w:numPr>
              <w:rPr>
                <w:rFonts w:hint="default"/>
                <w:lang w:val="en-US"/>
              </w:rPr>
            </w:pPr>
          </w:p>
        </w:tc>
      </w:tr>
      <w:tr w14:paraId="3D7CAEC8">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C673A31">
            <w:pPr>
              <w:numPr>
                <w:numId w:val="0"/>
              </w:numPr>
              <w:rPr>
                <w:rFonts w:hint="default"/>
                <w:lang w:val="en-US"/>
              </w:rPr>
            </w:pPr>
            <w:r>
              <w:rPr>
                <w:rFonts w:hint="default"/>
                <w:lang w:val="en-US"/>
              </w:rPr>
              <w:t>3. Interaction</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8238D40">
            <w:pPr>
              <w:numPr>
                <w:numId w:val="0"/>
              </w:numPr>
              <w:rPr>
                <w:rFonts w:hint="default"/>
                <w:lang w:val="en-US"/>
              </w:rPr>
            </w:pPr>
            <w:r>
              <w:rPr>
                <w:rFonts w:hint="default"/>
                <w:lang w:val="en-US"/>
              </w:rPr>
              <w:t>Price_Impact_per_Volume</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2C077DD">
            <w:pPr>
              <w:numPr>
                <w:numId w:val="0"/>
              </w:numPr>
              <w:rPr>
                <w:rFonts w:hint="default"/>
                <w:lang w:val="en-US"/>
              </w:rPr>
            </w:pPr>
            <w:r>
              <w:rPr>
                <w:rFonts w:hint="default"/>
                <w:lang w:val="en-US"/>
              </w:rPr>
              <w:t>15-min realized volatility / 15-min sum of `</w:t>
            </w:r>
          </w:p>
        </w:tc>
        <w:tc>
          <w:tcPr>
            <w:tcW w:w="172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7DEB5D1E">
            <w:pPr>
              <w:numPr>
                <w:numId w:val="0"/>
              </w:numPr>
              <w:rPr>
                <w:rFonts w:hint="default"/>
                <w:lang w:val="en-US"/>
              </w:rPr>
            </w:pPr>
            <w:r>
              <w:rPr>
                <w:rFonts w:hint="default"/>
                <w:lang w:val="en-US"/>
              </w:rPr>
              <w:t>OFI_raw</w:t>
            </w:r>
          </w:p>
        </w:tc>
        <w:tc>
          <w:tcPr>
            <w:tcW w:w="61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31EF72A">
            <w:pPr>
              <w:numPr>
                <w:numId w:val="0"/>
              </w:numPr>
              <w:rPr>
                <w:rFonts w:hint="default"/>
                <w:vertAlign w:val="superscript"/>
                <w:lang w:val="en-US"/>
              </w:rPr>
            </w:pPr>
            <w:r>
              <w:rPr>
                <w:rFonts w:hint="default"/>
                <w:lang w:val="en-US" w:eastAsia="zh-CN"/>
              </w:rPr>
              <w:t>10</w:t>
            </w:r>
            <w:r>
              <w:rPr>
                <w:rFonts w:hint="default"/>
                <w:vertAlign w:val="superscript"/>
                <w:lang w:val="en-US" w:eastAsia="zh-CN"/>
              </w:rPr>
              <w:t>−6</w:t>
            </w:r>
            <w:r>
              <w:rPr>
                <w:rFonts w:hint="default"/>
                <w:lang w:val="en-US" w:eastAsia="zh-CN"/>
              </w:rPr>
              <w:t>–10</w:t>
            </w:r>
            <w:r>
              <w:rPr>
                <w:rFonts w:hint="default"/>
                <w:vertAlign w:val="superscript"/>
                <w:lang w:val="en-US" w:eastAsia="zh-CN"/>
              </w:rPr>
              <w:t>−3</w:t>
            </w:r>
          </w:p>
          <w:p w14:paraId="6EA1BC2B">
            <w:pPr>
              <w:numPr>
                <w:numId w:val="0"/>
              </w:numPr>
              <w:rPr>
                <w:rFonts w:hint="default"/>
                <w:lang w:val="en-US"/>
              </w:rPr>
            </w:pPr>
          </w:p>
        </w:tc>
      </w:tr>
      <w:tr w14:paraId="38C8C250">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0EC88BA5">
            <w:pPr>
              <w:numPr>
                <w:numId w:val="0"/>
              </w:numPr>
              <w:rPr>
                <w:rFonts w:hint="default"/>
                <w:lang w:val="en-US"/>
              </w:rPr>
            </w:pPr>
            <w:r>
              <w:rPr>
                <w:rFonts w:hint="default"/>
                <w:lang w:val="en-US"/>
              </w:rPr>
              <w:t>4: Cross-Asset</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3940F7FB">
            <w:pPr>
              <w:numPr>
                <w:numId w:val="0"/>
              </w:numPr>
              <w:rPr>
                <w:rFonts w:hint="default"/>
                <w:lang w:val="en-US"/>
              </w:rPr>
            </w:pPr>
            <w:r>
              <w:rPr>
                <w:rFonts w:hint="default"/>
                <w:lang w:val="en-US"/>
              </w:rPr>
              <w:t>BTC_vol_lag_15m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53F434C">
            <w:pPr>
              <w:numPr>
                <w:numId w:val="0"/>
              </w:numPr>
              <w:rPr>
                <w:rFonts w:hint="default"/>
                <w:lang w:val="en-US"/>
              </w:rPr>
            </w:pPr>
            <w:r>
              <w:rPr>
                <w:rFonts w:hint="default"/>
                <w:lang w:val="en-US"/>
              </w:rPr>
              <w:t>Realized volatility of Bitcoin, lagged by 15 minutes</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A7BF044">
            <w:pPr>
              <w:numPr>
                <w:numId w:val="0"/>
              </w:numPr>
              <w:rPr>
                <w:rFonts w:hint="default"/>
                <w:lang w:val="en-US"/>
              </w:rPr>
            </w:pPr>
            <w:r>
              <w:rPr>
                <w:rFonts w:hint="default"/>
                <w:lang w:val="en-US"/>
              </w:rPr>
              <w:t>(Volatility Spillover) Tests the hypothesis that volatility in the market-leading asset (BTC) spills over to other assets (ETH) with a time lag.</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61832793">
            <w:pPr>
              <w:numPr>
                <w:numId w:val="0"/>
              </w:numPr>
              <w:rPr>
                <w:rFonts w:hint="default"/>
                <w:lang w:val="en-US"/>
              </w:rPr>
            </w:pPr>
            <w:r>
              <w:rPr>
                <w:rFonts w:hint="default"/>
                <w:lang w:val="en-US" w:eastAsia="zh-CN"/>
              </w:rPr>
              <w:t>0.1%–2%</w:t>
            </w:r>
          </w:p>
          <w:p w14:paraId="72D610A0">
            <w:pPr>
              <w:numPr>
                <w:numId w:val="0"/>
              </w:numPr>
              <w:rPr>
                <w:rFonts w:hint="default"/>
                <w:lang w:val="en-US"/>
              </w:rPr>
            </w:pPr>
          </w:p>
        </w:tc>
      </w:tr>
      <w:tr w14:paraId="69D3A3EA">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25BF60FA">
            <w:pPr>
              <w:numPr>
                <w:numId w:val="0"/>
              </w:numPr>
              <w:rPr>
                <w:rFonts w:hint="default"/>
                <w:lang w:val="en-US"/>
              </w:rPr>
            </w:pPr>
            <w:r>
              <w:rPr>
                <w:rFonts w:hint="default"/>
                <w:lang w:val="en-US"/>
              </w:rPr>
              <w:t>4: Cross-Asset</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51F0D36C">
            <w:pPr>
              <w:numPr>
                <w:numId w:val="0"/>
              </w:numPr>
              <w:rPr>
                <w:rFonts w:hint="default"/>
                <w:lang w:val="en-US"/>
              </w:rPr>
            </w:pPr>
            <w:r>
              <w:rPr>
                <w:rFonts w:hint="default"/>
                <w:lang w:val="en-US"/>
              </w:rPr>
              <w:t>BTC_OFI_lag_15m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47338DB6">
            <w:pPr>
              <w:numPr>
                <w:numId w:val="0"/>
              </w:numPr>
              <w:rPr>
                <w:rFonts w:hint="default"/>
                <w:lang w:val="en-US"/>
              </w:rPr>
            </w:pPr>
            <w:r>
              <w:rPr>
                <w:rFonts w:hint="default"/>
                <w:lang w:val="en-US"/>
              </w:rPr>
              <w:t>OFI_raw of Bitcoin, lagged by 15 minutes</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01EFF0F">
            <w:pPr>
              <w:numPr>
                <w:numId w:val="0"/>
              </w:numPr>
              <w:rPr>
                <w:rFonts w:hint="default"/>
                <w:lang w:val="en-US"/>
              </w:rPr>
            </w:pPr>
            <w:r>
              <w:rPr>
                <w:rFonts w:hint="default"/>
                <w:lang w:val="en-US"/>
              </w:rPr>
              <w:t>(Sentiment Spillover) Strong order flow pressure in BTC can influence broad market sentiment and liquidity, thus acting as a leading indicator for volatility in ETH.</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0FAD1B14">
            <w:pPr>
              <w:numPr>
                <w:numId w:val="0"/>
              </w:numPr>
              <w:rPr>
                <w:rFonts w:hint="default"/>
                <w:lang w:val="en-US"/>
              </w:rPr>
            </w:pPr>
            <w:r>
              <w:rPr>
                <w:rFonts w:hint="default"/>
                <w:lang w:val="en-US" w:eastAsia="zh-CN"/>
              </w:rPr>
              <w:t>[−10</w:t>
            </w:r>
            <w:r>
              <w:rPr>
                <w:rFonts w:hint="default"/>
                <w:vertAlign w:val="superscript"/>
                <w:lang w:val="en-US" w:eastAsia="zh-CN"/>
              </w:rPr>
              <w:t>2</w:t>
            </w:r>
            <w:r>
              <w:rPr>
                <w:rFonts w:hint="default"/>
                <w:lang w:val="en-US" w:eastAsia="zh-CN"/>
              </w:rPr>
              <w:t>,10</w:t>
            </w:r>
            <w:r>
              <w:rPr>
                <w:rFonts w:hint="default"/>
                <w:vertAlign w:val="superscript"/>
                <w:lang w:val="en-US" w:eastAsia="zh-CN"/>
              </w:rPr>
              <w:t>3</w:t>
            </w:r>
            <w:r>
              <w:rPr>
                <w:rFonts w:hint="default"/>
                <w:lang w:val="en-US" w:eastAsia="zh-CN"/>
              </w:rPr>
              <w:t>]</w:t>
            </w:r>
          </w:p>
          <w:p w14:paraId="16B07CF9">
            <w:pPr>
              <w:numPr>
                <w:numId w:val="0"/>
              </w:numPr>
              <w:rPr>
                <w:rFonts w:hint="default"/>
                <w:lang w:val="en-US"/>
              </w:rPr>
            </w:pPr>
          </w:p>
        </w:tc>
      </w:tr>
      <w:tr w14:paraId="7BDFC2B5">
        <w:trPr>
          <w:trHeight w:val="0" w:hRule="atLeast"/>
        </w:trPr>
        <w:tc>
          <w:tcPr>
            <w:tcW w:w="694"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1700CAAB">
            <w:pPr>
              <w:numPr>
                <w:numId w:val="0"/>
              </w:numPr>
              <w:rPr>
                <w:rFonts w:hint="default"/>
                <w:lang w:val="en-US"/>
              </w:rPr>
            </w:pPr>
            <w:r>
              <w:rPr>
                <w:rFonts w:hint="default"/>
                <w:lang w:val="en-US"/>
              </w:rPr>
              <w:t>4: Cross-Asset</w:t>
            </w:r>
          </w:p>
        </w:tc>
        <w:tc>
          <w:tcPr>
            <w:tcW w:w="951"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6CA522F0">
            <w:pPr>
              <w:numPr>
                <w:numId w:val="0"/>
              </w:numPr>
              <w:rPr>
                <w:rFonts w:hint="default"/>
                <w:lang w:val="en-US"/>
              </w:rPr>
            </w:pPr>
            <w:r>
              <w:rPr>
                <w:rFonts w:hint="default"/>
                <w:lang w:val="en-US"/>
              </w:rPr>
              <w:t>ETH_BTC_corr_60m</w:t>
            </w:r>
          </w:p>
        </w:tc>
        <w:tc>
          <w:tcPr>
            <w:tcW w:w="1022" w:type="pct"/>
            <w:tcBorders>
              <w:top w:val="single" w:color="000000" w:sz="8" w:space="0"/>
              <w:left w:val="single" w:color="000000" w:sz="8" w:space="0"/>
              <w:bottom w:val="single" w:color="000000" w:sz="8" w:space="0"/>
              <w:right w:val="single" w:color="000000" w:sz="8" w:space="0"/>
            </w:tcBorders>
            <w:shd w:val="clear"/>
            <w:tcMar>
              <w:top w:w="40" w:type="dxa"/>
              <w:left w:w="40" w:type="dxa"/>
              <w:bottom w:w="40" w:type="dxa"/>
              <w:right w:w="40" w:type="dxa"/>
            </w:tcMar>
            <w:vAlign w:val="bottom"/>
          </w:tcPr>
          <w:p w14:paraId="41A42A60">
            <w:pPr>
              <w:numPr>
                <w:numId w:val="0"/>
              </w:numPr>
              <w:rPr>
                <w:rFonts w:hint="default"/>
                <w:lang w:val="en-US"/>
              </w:rPr>
            </w:pPr>
            <w:r>
              <w:rPr>
                <w:rFonts w:hint="default"/>
                <w:lang w:val="en-US"/>
              </w:rPr>
              <w:t>60-min rolling correlation between ETH and BTC returns</w:t>
            </w:r>
          </w:p>
        </w:tc>
        <w:tc>
          <w:tcPr>
            <w:tcW w:w="172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1DF6A49C">
            <w:pPr>
              <w:numPr>
                <w:numId w:val="0"/>
              </w:numPr>
              <w:rPr>
                <w:rFonts w:hint="default"/>
                <w:lang w:val="en-US"/>
              </w:rPr>
            </w:pPr>
            <w:r>
              <w:rPr>
                <w:rFonts w:hint="default"/>
                <w:lang w:val="en-US"/>
              </w:rPr>
              <w:t>(Correlation Regime) Changes in correlation signal shifts in the market regime. A breakdown of correlation (decoupling) or a sudden tightening can precede periods of high volatility.</w:t>
            </w:r>
          </w:p>
        </w:tc>
        <w:tc>
          <w:tcPr>
            <w:tcW w:w="611" w:type="pct"/>
            <w:tcBorders>
              <w:top w:val="single" w:color="000000" w:sz="8" w:space="0"/>
              <w:left w:val="single" w:color="000000" w:sz="8" w:space="0"/>
              <w:bottom w:val="single" w:color="000000" w:sz="8" w:space="0"/>
              <w:right w:val="single" w:color="000000" w:sz="6" w:space="0"/>
            </w:tcBorders>
            <w:shd w:val="clear"/>
            <w:tcMar>
              <w:top w:w="40" w:type="dxa"/>
              <w:left w:w="0" w:type="dxa"/>
              <w:bottom w:w="40" w:type="dxa"/>
              <w:right w:w="0" w:type="dxa"/>
            </w:tcMar>
            <w:vAlign w:val="bottom"/>
          </w:tcPr>
          <w:p w14:paraId="410D9247">
            <w:pPr>
              <w:numPr>
                <w:numId w:val="0"/>
              </w:numPr>
              <w:rPr>
                <w:rFonts w:hint="default"/>
                <w:lang w:val="en-US"/>
              </w:rPr>
            </w:pPr>
            <w:r>
              <w:rPr>
                <w:rFonts w:hint="default"/>
                <w:lang w:val="en-US" w:eastAsia="zh-CN"/>
              </w:rPr>
              <w:t>[−1,1]</w:t>
            </w:r>
          </w:p>
          <w:p w14:paraId="01E092AC">
            <w:pPr>
              <w:numPr>
                <w:numId w:val="0"/>
              </w:numPr>
              <w:rPr>
                <w:rFonts w:hint="default"/>
                <w:lang w:val="en-US"/>
              </w:rPr>
            </w:pPr>
          </w:p>
        </w:tc>
      </w:tr>
    </w:tbl>
    <w:p w14:paraId="70BCB2E5">
      <w:pPr>
        <w:numPr>
          <w:numId w:val="0"/>
        </w:numPr>
        <w:rPr>
          <w:rFonts w:hint="default"/>
          <w:lang w:val="en-US"/>
        </w:rPr>
      </w:pPr>
    </w:p>
    <w:p w14:paraId="16997C3A">
      <w:pPr>
        <w:numPr>
          <w:ilvl w:val="0"/>
          <w:numId w:val="3"/>
        </w:numPr>
        <w:rPr>
          <w:rFonts w:hint="default"/>
          <w:b/>
          <w:bCs/>
          <w:lang w:val="en-US"/>
        </w:rPr>
      </w:pPr>
      <w:r>
        <w:rPr>
          <w:rFonts w:hint="default"/>
          <w:b/>
          <w:bCs/>
          <w:lang w:val="en-US"/>
        </w:rPr>
        <w:t>How will you check for feature quality and collinearity</w:t>
      </w:r>
    </w:p>
    <w:p w14:paraId="070A1E6E">
      <w:pPr>
        <w:numPr>
          <w:numId w:val="0"/>
        </w:numPr>
        <w:rPr>
          <w:rFonts w:hint="default"/>
          <w:b/>
          <w:bCs/>
          <w:lang w:val="en-US"/>
        </w:rPr>
      </w:pPr>
    </w:p>
    <w:p w14:paraId="27DC193A">
      <w:pPr>
        <w:rPr>
          <w:rFonts w:hint="default"/>
          <w:lang w:val="en-US"/>
        </w:rPr>
      </w:pPr>
      <w:r>
        <w:rPr>
          <w:rFonts w:hint="default"/>
        </w:rPr>
        <w:t>feature quality and collinearity: GARCH → XGBoost or Transformer</w:t>
      </w:r>
      <w:r>
        <w:rPr>
          <w:rFonts w:hint="default"/>
          <w:lang w:val="en-US"/>
        </w:rPr>
        <w:t xml:space="preserve">. </w:t>
      </w:r>
      <w:r>
        <w:rPr>
          <w:rFonts w:hint="default"/>
          <w:lang w:val="en-US" w:eastAsia="zh-CN"/>
        </w:rPr>
        <w:t>We will first benchmark all features against a simple GARCH model to test whether they add incremental predictive power. Then, to detect and control collinearity, we use correlation matrices and VIF checks before modeling. Finally, model-specific diagnostics from XGBoost (feature importance, SHAP) and Transformers (attention weights) ensure that redundant or unstable features are pruned, leaving only those that consistently improve out-of-sample volatility forecasts.</w:t>
      </w:r>
    </w:p>
    <w:p w14:paraId="66964A25">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A3F0C"/>
    <w:multiLevelType w:val="singleLevel"/>
    <w:tmpl w:val="9F6A3F0C"/>
    <w:lvl w:ilvl="0" w:tentative="0">
      <w:start w:val="4"/>
      <w:numFmt w:val="decimal"/>
      <w:suff w:val="space"/>
      <w:lvlText w:val="%1."/>
      <w:lvlJc w:val="left"/>
    </w:lvl>
  </w:abstractNum>
  <w:abstractNum w:abstractNumId="1">
    <w:nsid w:val="CCDFC732"/>
    <w:multiLevelType w:val="singleLevel"/>
    <w:tmpl w:val="CCDFC732"/>
    <w:lvl w:ilvl="0" w:tentative="0">
      <w:start w:val="1"/>
      <w:numFmt w:val="decimal"/>
      <w:lvlText w:val="%1."/>
      <w:lvlJc w:val="left"/>
      <w:pPr>
        <w:tabs>
          <w:tab w:val="left" w:pos="312"/>
        </w:tabs>
      </w:pPr>
    </w:lvl>
  </w:abstractNum>
  <w:abstractNum w:abstractNumId="2">
    <w:nsid w:val="F7DF8420"/>
    <w:multiLevelType w:val="multilevel"/>
    <w:tmpl w:val="F7DF842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4NzI2NzVkM2YyY2YzYTk0ZjY1ZTY2NzFlY2EwMmEifQ=="/>
  </w:docVars>
  <w:rsids>
    <w:rsidRoot w:val="70FFC191"/>
    <w:rsid w:val="3F5BA3B6"/>
    <w:rsid w:val="70FFC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85</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2025-09-30T23:29:00Z</dcterms:created>
  <dc:creator>张亦驰NOVA</dc:creator>
  <cp:lastModifiedBy>张亦驰NOVA</cp:lastModifiedBy>
  <dcterms:modified xsi:type="dcterms:W3CDTF">2025-10-01T16:03:03Z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3366829318FD5B5F28A0DC68113244F3_41</vt:lpwstr>
  </property>
</Properties>
</file>