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100" w:line="252" w:lineRule="auto"/>
        <w:jc w:val="left"/>
      </w:pPr>
      <w:r>
        <w:rPr>
          <w:rFonts w:ascii="Times New Roman" w:hAnsi="Times New Roman" w:eastAsia="Times New Roman" w:cs="Times New Roman"/>
          <w:b/>
          <w:i w:val="0"/>
          <w:color w:val="000000"/>
          <w:sz w:val="40"/>
        </w:rPr>
        <w:t>KRAS suppression in pancreatic cancer cells</w:t>
      </w:r>
    </w:p>
    <w:p>
      <w:pPr>
        <w:keepNext w:val="0"/>
        <w:spacing w:before="0" w:after="100" w:line="252" w:lineRule="auto"/>
      </w:pPr>
      <w:r>
        <w:rPr>
          <w:rFonts w:ascii="Times New Roman" w:hAnsi="Times New Roman" w:eastAsia="Times New Roman" w:cs="Times New Roman"/>
          <w:b/>
          <w:i w:val="0"/>
          <w:color w:val="000000"/>
          <w:sz w:val="19"/>
        </w:rPr>
        <w:t>RNA SEQ PROGRESS REPORT</w:t>
      </w:r>
    </w:p>
    <w:p>
      <w:pPr>
        <w:keepNext w:val="0"/>
        <w:spacing w:before="0" w:after="100" w:line="252" w:lineRule="auto"/>
      </w:pPr>
      <w:r>
        <w:rPr>
          <w:rFonts w:ascii="Times New Roman" w:hAnsi="Times New Roman" w:eastAsia="Times New Roman" w:cs="Times New Roman"/>
          <w:b w:val="0"/>
          <w:i w:val="0"/>
          <w:color w:val="000000"/>
          <w:sz w:val="18"/>
        </w:rPr>
        <w:t>Yichuan Lin  |  University of Ottawa, Faculty of Science  |  2026-10-01</w:t>
      </w:r>
    </w:p>
    <w:p>
      <w:pPr>
        <w:pStyle w:val="Heading1"/>
        <w:keepNext/>
        <w:spacing w:before="220" w:after="100" w:line="252" w:lineRule="auto"/>
      </w:pPr>
      <w:r>
        <w:rPr>
          <w:rFonts w:ascii="Times New Roman" w:hAnsi="Times New Roman" w:eastAsia="Times New Roman" w:cs="Times New Roman"/>
          <w:b/>
          <w:i w:val="0"/>
          <w:color w:val="000000"/>
          <w:sz w:val="28"/>
        </w:rPr>
        <w:t>1 Overview</w:t>
      </w:r>
    </w:p>
    <w:p>
      <w:pPr>
        <w:keepNext w:val="0"/>
        <w:spacing w:before="0" w:after="200" w:line="252" w:lineRule="auto"/>
        <w:jc w:val="both"/>
      </w:pPr>
      <w:r>
        <w:t>This report reanalyses data from the study by Klomp and colleagues.</w:t>
      </w:r>
      <w:r>
        <w:rPr>
          <w:sz w:val="16"/>
          <w:vertAlign w:val="superscript"/>
        </w:rPr>
        <w:t>1</w:t>
      </w:r>
      <w:r>
        <w:t xml:space="preserve"> Gene counting is complete for 17 runs from eight pancreatic cancer cell lines. The dataset contains eight control runs and nine KRAS siRNA runs. Correcting duplicate inputs resolved the KRAS M1 counting failure. The current matrix contains 28,395 gene rows, with all runs retained for review.</w:t>
      </w:r>
      <w:r>
        <w:rPr>
          <w:sz w:val="16"/>
          <w:vertAlign w:val="superscript"/>
        </w:rPr>
        <w:t>2</w:t>
      </w:r>
    </w:p>
    <w:p>
      <w:pPr>
        <w:pStyle w:val="Heading1"/>
        <w:keepNext/>
        <w:spacing w:before="220" w:after="100" w:line="252" w:lineRule="auto"/>
      </w:pPr>
      <w:r>
        <w:rPr>
          <w:rFonts w:ascii="Times New Roman" w:hAnsi="Times New Roman" w:eastAsia="Times New Roman" w:cs="Times New Roman"/>
          <w:b/>
          <w:i w:val="0"/>
          <w:color w:val="000000"/>
          <w:sz w:val="28"/>
        </w:rPr>
        <w:t>2 Work completed</w:t>
      </w:r>
    </w:p>
    <w:p>
      <w:pPr>
        <w:keepNext w:val="0"/>
        <w:spacing w:before="0" w:after="200" w:line="252" w:lineRule="auto"/>
        <w:jc w:val="both"/>
      </w:pPr>
      <w:r>
        <w:rPr>
          <w:rFonts w:ascii="Times New Roman" w:hAnsi="Times New Roman" w:eastAsia="Times New Roman" w:cs="Times New Roman"/>
          <w:b w:val="0"/>
          <w:i w:val="0"/>
          <w:color w:val="000000"/>
          <w:sz w:val="21"/>
        </w:rPr>
        <w:t>The original quality review covered 34 FASTQ files with FastQC and MultiQC. HISAT2 2.2.3 aligned paired reads to human hg38 using unstranded settings, without trimming or a read limit. featureCounts 2.1.1 used the built-in hg38 annotation, counted pairs as fragments and excluded chimeric fragments.</w:t>
      </w:r>
      <w:r>
        <w:rPr>
          <w:sz w:val="16"/>
          <w:vertAlign w:val="superscript"/>
        </w:rPr>
        <w:t>2</w:t>
      </w:r>
    </w:p>
    <w:p>
      <w:pPr>
        <w:keepNext w:val="0"/>
        <w:spacing w:before="0" w:after="200" w:line="252" w:lineRule="auto"/>
        <w:jc w:val="both"/>
      </w:pPr>
      <w:r>
        <w:t>Full-file checks showed that the original M1 R1 and decompressed R2 contained identical reads. Replacement files from ENA run SRR24828469 matched the expected checksums.</w:t>
      </w:r>
      <w:r>
        <w:rPr>
          <w:sz w:val="16"/>
          <w:vertAlign w:val="superscript"/>
        </w:rPr>
        <w:t>3</w:t>
      </w:r>
      <w:r>
        <w:t xml:space="preserve"> All 45,292,678 paired identifiers matched in order, and the uploaded Galaxy copies passed the file checks.</w:t>
      </w:r>
      <w:r>
        <w:rPr>
          <w:sz w:val="16"/>
          <w:vertAlign w:val="superscript"/>
        </w:rPr>
        <w:t>2</w:t>
      </w:r>
    </w:p>
    <w:p>
      <w:pPr>
        <w:keepNext w:val="0"/>
        <w:spacing w:before="0" w:after="200" w:line="252" w:lineRule="auto"/>
        <w:jc w:val="both"/>
      </w:pPr>
      <w:r>
        <w:rPr>
          <w:rFonts w:ascii="Times New Roman" w:hAnsi="Times New Roman" w:eastAsia="Times New Roman" w:cs="Times New Roman"/>
          <w:b w:val="0"/>
          <w:i w:val="0"/>
          <w:color w:val="000000"/>
          <w:sz w:val="21"/>
        </w:rPr>
        <w:t>After reanalysis, M1 assigned counts rose from 509 to 37,657,740, and concordant unique alignment rose from 0.0030% to 85.54%. Overall alignment stayed near 96.5%, which shows why this metric alone did not reveal the error. M1 now detects 18,871 genes and correlates with its Pa01C control at r = 0.9944.</w:t>
      </w:r>
      <w:r>
        <w:rPr>
          <w:sz w:val="16"/>
          <w:vertAlign w:val="superscript"/>
        </w:rPr>
        <w:t>2</w:t>
      </w:r>
    </w:p>
    <w:p>
      <w:pPr>
        <w:keepNext w:val="0"/>
        <w:spacing w:before="0" w:after="200" w:line="252" w:lineRule="auto"/>
        <w:jc w:val="both"/>
      </w:pPr>
      <w:r>
        <w:rPr>
          <w:rFonts w:ascii="Times New Roman" w:hAnsi="Times New Roman" w:eastAsia="Times New Roman" w:cs="Times New Roman"/>
          <w:b w:val="0"/>
          <w:i w:val="0"/>
          <w:color w:val="000000"/>
          <w:sz w:val="21"/>
        </w:rPr>
        <w:t>All 454,320 values in the other 16 count columns remained unchanged. Their assignment rates range from 65.61% to 76.45%, compared with 68.94% for corrected M1. The appendix presents the count distributions, correlations and principal component analysis (PCA). M3 separates in both treatment conditions, so this pattern alone does not justify excluding it.</w:t>
      </w:r>
      <w:r>
        <w:rPr>
          <w:sz w:val="16"/>
          <w:vertAlign w:val="superscript"/>
        </w:rPr>
        <w:t>2</w:t>
      </w:r>
    </w:p>
    <w:p>
      <w:pPr>
        <w:keepNext w:val="0"/>
        <w:spacing w:before="0" w:after="200" w:line="252" w:lineRule="auto"/>
        <w:jc w:val="both"/>
      </w:pPr>
      <w:r>
        <w:rPr>
          <w:rFonts w:ascii="Times New Roman" w:hAnsi="Times New Roman" w:eastAsia="Times New Roman" w:cs="Times New Roman"/>
          <w:b w:val="0"/>
          <w:i w:val="0"/>
          <w:color w:val="000000"/>
          <w:sz w:val="21"/>
        </w:rPr>
        <w:t>R code rebuilds the raw count matrix and sample annotations. Python code generates the plots from log2(CPM + 1), where CPM means counts per million. Exported counts remain unnormalized integers. The earlier FastQC reports describe the original files, not a new quality assessment of the replacement M1 pair.</w:t>
      </w:r>
      <w:r>
        <w:rPr>
          <w:sz w:val="16"/>
          <w:vertAlign w:val="superscript"/>
        </w:rPr>
        <w:t>2</w:t>
      </w:r>
    </w:p>
    <w:p>
      <w:pPr>
        <w:pStyle w:val="Heading1"/>
        <w:keepNext/>
        <w:spacing w:before="220" w:after="100" w:line="252" w:lineRule="auto"/>
      </w:pPr>
      <w:r>
        <w:rPr>
          <w:rFonts w:ascii="Times New Roman" w:hAnsi="Times New Roman" w:eastAsia="Times New Roman" w:cs="Times New Roman"/>
          <w:b/>
          <w:i w:val="0"/>
          <w:color w:val="000000"/>
          <w:sz w:val="28"/>
        </w:rPr>
        <w:t>3 Next steps</w:t>
      </w:r>
    </w:p>
    <w:p>
      <w:pPr>
        <w:keepNext w:val="0"/>
        <w:spacing w:before="0" w:after="200" w:line="252" w:lineRule="auto"/>
        <w:jc w:val="both"/>
      </w:pPr>
      <w:r>
        <w:rPr>
          <w:rFonts w:ascii="Times New Roman" w:hAnsi="Times New Roman" w:eastAsia="Times New Roman" w:cs="Times New Roman"/>
          <w:b w:val="0"/>
          <w:i w:val="0"/>
          <w:color w:val="000000"/>
          <w:sz w:val="21"/>
        </w:rPr>
        <w:t>First, establish whether the two P5 KRAS runs are technical repeats, biological repeats or alternative experiments. Their accessions are SRR24828471 and SRR24828472. This distinction determines the final analysis inputs. Next, compare treatments while accounting for cell-line identity, using raw integer counts. Report effect sizes and adjusted P values before interpreting gene or pathway changes.</w:t>
      </w:r>
    </w:p>
    <w:p>
      <w:pPr>
        <w:pStyle w:val="Heading1"/>
        <w:keepNext/>
        <w:spacing w:before="220" w:after="100" w:line="252" w:lineRule="auto"/>
      </w:pPr>
      <w:r>
        <w:rPr>
          <w:rFonts w:ascii="Times New Roman" w:hAnsi="Times New Roman" w:eastAsia="Times New Roman" w:cs="Times New Roman"/>
          <w:b/>
          <w:i w:val="0"/>
          <w:color w:val="000000"/>
          <w:sz w:val="28"/>
        </w:rPr>
        <w:t>4 Summary</w:t>
      </w:r>
    </w:p>
    <w:p>
      <w:pPr>
        <w:keepNext w:val="0"/>
        <w:spacing w:before="0" w:after="200" w:line="252" w:lineRule="auto"/>
        <w:jc w:val="both"/>
      </w:pPr>
      <w:r>
        <w:rPr>
          <w:rFonts w:ascii="Times New Roman" w:hAnsi="Times New Roman" w:eastAsia="Times New Roman" w:cs="Times New Roman"/>
          <w:b w:val="0"/>
          <w:i w:val="0"/>
          <w:color w:val="000000"/>
          <w:sz w:val="21"/>
        </w:rPr>
        <w:t>The M1 input error is corrected, and the updated count matrix retains all 17 runs. The quality plots support proceeding to statistical analysis but do not establish KRAS knockdown efficiency or treatment effects. The next priority is to resolve the P5 repeat relationship, then test the treatment effect while accounting for cell line.</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A Count distributions</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166360" cy="3455174"/>
            <wp:docPr id="1" name="Picture 1"/>
            <wp:cNvGraphicFramePr>
              <a:graphicFrameLocks noChangeAspect="1"/>
            </wp:cNvGraphicFramePr>
            <a:graphic>
              <a:graphicData uri="http://schemas.openxmlformats.org/drawingml/2006/picture">
                <pic:pic>
                  <pic:nvPicPr>
                    <pic:cNvPr id="0" name="01_assignment.png"/>
                    <pic:cNvPicPr/>
                  </pic:nvPicPr>
                  <pic:blipFill>
                    <a:blip r:embed="rId11"/>
                    <a:stretch>
                      <a:fillRect/>
                    </a:stretch>
                  </pic:blipFill>
                  <pic:spPr>
                    <a:xfrm>
                      <a:off x="0" y="0"/>
                      <a:ext cx="5166360" cy="3455174"/>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A1  Assigned counts and assignment rates</w:t>
      </w:r>
    </w:p>
    <w:p>
      <w:pPr>
        <w:keepNext w:val="0"/>
        <w:spacing w:before="0" w:after="240" w:line="252" w:lineRule="auto"/>
        <w:jc w:val="left"/>
      </w:pPr>
      <w:r>
        <w:rPr>
          <w:rFonts w:ascii="Times New Roman" w:hAnsi="Times New Roman" w:eastAsia="Times New Roman" w:cs="Times New Roman"/>
          <w:b w:val="0"/>
          <w:i w:val="0"/>
          <w:color w:val="000000"/>
          <w:sz w:val="18"/>
        </w:rPr>
        <w:t>Assigned count totals and assignment rates. C denotes control and K denotes KRAS siRNA. Codes identify cell lines throughout the appendix. The rate uses all featureCounts summary records as its denominator.</w:t>
      </w:r>
      <w:r>
        <w:rPr>
          <w:sz w:val="16"/>
          <w:vertAlign w:val="superscript"/>
        </w:rPr>
        <w:t>2</w:t>
      </w:r>
    </w:p>
    <w:p>
      <w:pPr>
        <w:keepNext/>
        <w:spacing w:before="0" w:after="12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166360" cy="3420785"/>
            <wp:docPr id="2" name="Picture 2"/>
            <wp:cNvGraphicFramePr>
              <a:graphicFrameLocks noChangeAspect="1"/>
            </wp:cNvGraphicFramePr>
            <a:graphic>
              <a:graphicData uri="http://schemas.openxmlformats.org/drawingml/2006/picture">
                <pic:pic>
                  <pic:nvPicPr>
                    <pic:cNvPr id="0" name="02_detection.png"/>
                    <pic:cNvPicPr/>
                  </pic:nvPicPr>
                  <pic:blipFill>
                    <a:blip r:embed="rId12"/>
                    <a:stretch>
                      <a:fillRect/>
                    </a:stretch>
                  </pic:blipFill>
                  <pic:spPr>
                    <a:xfrm>
                      <a:off x="0" y="0"/>
                      <a:ext cx="5166360" cy="3420785"/>
                    </a:xfrm>
                    <a:prstGeom prst="rect"/>
                  </pic:spPr>
                </pic:pic>
              </a:graphicData>
            </a:graphic>
          </wp:inline>
        </w:drawing>
      </w:r>
    </w:p>
    <w:p>
      <w:pPr>
        <w:keepNext/>
        <w:spacing w:before="0" w:after="100" w:line="252" w:lineRule="auto"/>
        <w:jc w:val="both"/>
      </w:pPr>
      <w:r>
        <w:rPr>
          <w:rFonts w:ascii="Times New Roman" w:hAnsi="Times New Roman" w:eastAsia="Times New Roman" w:cs="Times New Roman"/>
          <w:b/>
          <w:i w:val="0"/>
          <w:color w:val="000000"/>
          <w:sz w:val="20"/>
        </w:rPr>
        <w:t>Figure A2  Detected genes and abundant transcripts</w:t>
      </w:r>
    </w:p>
    <w:p>
      <w:pPr>
        <w:keepNext w:val="0"/>
        <w:spacing w:before="0" w:after="240" w:line="252" w:lineRule="auto"/>
        <w:jc w:val="left"/>
      </w:pPr>
      <w:r>
        <w:rPr>
          <w:rFonts w:ascii="Times New Roman" w:hAnsi="Times New Roman" w:eastAsia="Times New Roman" w:cs="Times New Roman"/>
          <w:b w:val="0"/>
          <w:i w:val="0"/>
          <w:color w:val="000000"/>
          <w:sz w:val="18"/>
        </w:rPr>
        <w:t>Genes with raw counts above zero and the share of assigned counts from the ten most abundant genes. Corrected K-M1 detects 18,871 genes. Its ten most abundant genes contribute 6.01% of assigned counts.</w:t>
      </w:r>
      <w:r>
        <w:rPr>
          <w:sz w:val="16"/>
          <w:vertAlign w:val="superscript"/>
        </w:rPr>
        <w:t>2</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B Sample correlations</w:t>
      </w:r>
    </w:p>
    <w:p>
      <w:pPr>
        <w:keepNext/>
        <w:spacing w:before="0" w:after="24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760720" cy="4979080"/>
            <wp:docPr id="3" name="Picture 3"/>
            <wp:cNvGraphicFramePr>
              <a:graphicFrameLocks noChangeAspect="1"/>
            </wp:cNvGraphicFramePr>
            <a:graphic>
              <a:graphicData uri="http://schemas.openxmlformats.org/drawingml/2006/picture">
                <pic:pic>
                  <pic:nvPicPr>
                    <pic:cNvPr id="0" name="03_correlation.png"/>
                    <pic:cNvPicPr/>
                  </pic:nvPicPr>
                  <pic:blipFill>
                    <a:blip r:embed="rId13"/>
                    <a:stretch>
                      <a:fillRect/>
                    </a:stretch>
                  </pic:blipFill>
                  <pic:spPr>
                    <a:xfrm>
                      <a:off x="0" y="0"/>
                      <a:ext cx="5760720" cy="4979080"/>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B1  Correlations between samples</w:t>
      </w:r>
    </w:p>
    <w:p>
      <w:pPr>
        <w:keepNext w:val="0"/>
        <w:spacing w:before="0" w:after="400" w:line="252" w:lineRule="auto"/>
        <w:jc w:val="left"/>
      </w:pPr>
      <w:r>
        <w:rPr>
          <w:rFonts w:ascii="Times New Roman" w:hAnsi="Times New Roman" w:eastAsia="Times New Roman" w:cs="Times New Roman"/>
          <w:b w:val="0"/>
          <w:i w:val="0"/>
          <w:color w:val="000000"/>
          <w:sz w:val="18"/>
        </w:rPr>
        <w:t>Pearson correlations of log2(CPM + 1) across genes detected in at least one run. Values are rounded to two decimal places. A displayed 1.00 does not establish identical samples.</w:t>
      </w:r>
      <w:r>
        <w:rPr>
          <w:sz w:val="16"/>
          <w:vertAlign w:val="superscript"/>
        </w:rPr>
        <w:t>2</w:t>
      </w:r>
    </w:p>
    <w:p>
      <w:pPr>
        <w:keepNext w:val="0"/>
        <w:spacing w:before="0" w:after="200" w:line="252" w:lineRule="auto"/>
        <w:jc w:val="both"/>
      </w:pPr>
      <w:r>
        <w:rPr>
          <w:rFonts w:ascii="Times New Roman" w:hAnsi="Times New Roman" w:eastAsia="Times New Roman" w:cs="Times New Roman"/>
          <w:b w:val="0"/>
          <w:i w:val="0"/>
          <w:color w:val="000000"/>
          <w:sz w:val="21"/>
        </w:rPr>
        <w:t>Corrected K-M1 has its highest correlation with C-M1 (r = 0.9944). Matched control and treatment profiles are similar within cell lines. This similarity does not rule out gene-specific treatment effects.</w:t>
      </w:r>
    </w:p>
    <w:p>
      <w:pPr>
        <w:pStyle w:val="Heading1"/>
        <w:keepNext/>
        <w:pageBreakBefore/>
        <w:spacing w:before="220" w:after="100" w:line="252" w:lineRule="auto"/>
      </w:pPr>
      <w:r>
        <w:rPr>
          <w:rFonts w:ascii="Times New Roman" w:hAnsi="Times New Roman" w:eastAsia="Times New Roman" w:cs="Times New Roman"/>
          <w:b/>
          <w:i w:val="0"/>
          <w:color w:val="000000"/>
          <w:sz w:val="28"/>
        </w:rPr>
        <w:t>Appendix C PCA and M1 comparison</w:t>
      </w:r>
    </w:p>
    <w:p>
      <w:pPr>
        <w:keepNext/>
        <w:spacing w:before="0" w:after="240" w:line="252" w:lineRule="auto"/>
        <w:jc w:val="center"/>
      </w:pPr>
      <w:r>
        <w:rPr>
          <w:rFonts w:ascii="Times New Roman" w:hAnsi="Times New Roman" w:eastAsia="Times New Roman" w:cs="Times New Roman"/>
          <w:b w:val="0"/>
          <w:i w:val="0"/>
          <w:color w:val="000000"/>
          <w:sz w:val="21"/>
        </w:rPr>
      </w:r>
      <w:r>
        <w:drawing>
          <wp:inline xmlns:a="http://schemas.openxmlformats.org/drawingml/2006/main" xmlns:pic="http://schemas.openxmlformats.org/drawingml/2006/picture">
            <wp:extent cx="5029200" cy="3300240"/>
            <wp:docPr id="4" name="Picture 4"/>
            <wp:cNvGraphicFramePr>
              <a:graphicFrameLocks noChangeAspect="1"/>
            </wp:cNvGraphicFramePr>
            <a:graphic>
              <a:graphicData uri="http://schemas.openxmlformats.org/drawingml/2006/picture">
                <pic:pic>
                  <pic:nvPicPr>
                    <pic:cNvPr id="0" name="04_pca.png"/>
                    <pic:cNvPicPr/>
                  </pic:nvPicPr>
                  <pic:blipFill>
                    <a:blip r:embed="rId14"/>
                    <a:stretch>
                      <a:fillRect/>
                    </a:stretch>
                  </pic:blipFill>
                  <pic:spPr>
                    <a:xfrm>
                      <a:off x="0" y="0"/>
                      <a:ext cx="5029200" cy="3300240"/>
                    </a:xfrm>
                    <a:prstGeom prst="rect"/>
                  </pic:spPr>
                </pic:pic>
              </a:graphicData>
            </a:graphic>
          </wp:inline>
        </w:drawing>
      </w:r>
    </w:p>
    <w:p>
      <w:pPr>
        <w:keepNext/>
        <w:spacing w:before="80" w:after="160" w:line="252" w:lineRule="auto"/>
        <w:jc w:val="both"/>
      </w:pPr>
      <w:r>
        <w:rPr>
          <w:rFonts w:ascii="Times New Roman" w:hAnsi="Times New Roman" w:eastAsia="Times New Roman" w:cs="Times New Roman"/>
          <w:b/>
          <w:i w:val="0"/>
          <w:color w:val="000000"/>
          <w:sz w:val="20"/>
        </w:rPr>
        <w:t>Figure C1  Sample positions in the PCA</w:t>
      </w:r>
    </w:p>
    <w:p>
      <w:pPr>
        <w:keepNext w:val="0"/>
        <w:spacing w:before="0" w:after="400" w:line="252" w:lineRule="auto"/>
        <w:jc w:val="left"/>
      </w:pPr>
      <w:r>
        <w:rPr>
          <w:rFonts w:ascii="Times New Roman" w:hAnsi="Times New Roman" w:eastAsia="Times New Roman" w:cs="Times New Roman"/>
          <w:b w:val="0"/>
          <w:i w:val="0"/>
          <w:color w:val="000000"/>
          <w:sz w:val="18"/>
        </w:rPr>
        <w:t>PCA uses the 500 genes with the highest log2(CPM + 1) variance, centered by gene without scaling. PC1 and PC2 explain 39.29% and 19.80% of the variance. Both M3 runs separate on PC2.</w:t>
      </w:r>
      <w:r>
        <w:rPr>
          <w:sz w:val="16"/>
          <w:vertAlign w:val="superscript"/>
        </w:rPr>
        <w:t>2</w:t>
      </w:r>
    </w:p>
    <w:tbl>
      <w:tblPr>
        <w:tblW w:type="auto" w:w="0"/>
        <w:jc w:val="center"/>
        <w:tblLayout w:type="fixed"/>
        <w:tblLook w:firstColumn="1" w:firstRow="1" w:lastColumn="0" w:lastRow="0" w:noHBand="0" w:noVBand="1" w:val="04A0"/>
      </w:tblPr>
      <w:tblGrid>
        <w:gridCol w:w="1970"/>
        <w:gridCol w:w="1970"/>
        <w:gridCol w:w="1970"/>
        <w:gridCol w:w="1970"/>
        <w:gridCol w:w="1970"/>
      </w:tblGrid>
      <w:tr>
        <w:trPr>
          <w:trHeight/>
        </w:trPr>
        <w:tc>
          <w:tcPr>
            <w:tcW w:type="dxa" w:w="835"/>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i w:val="0"/>
                <w:color w:val="000000"/>
                <w:sz w:val="18"/>
              </w:rPr>
              <w:t>M1 result</w:t>
            </w:r>
          </w:p>
        </w:tc>
        <w:tc>
          <w:tcPr>
            <w:tcW w:type="dxa" w:w="1958"/>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left"/>
            </w:pPr>
            <w:r>
              <w:rPr>
                <w:rFonts w:ascii="Times New Roman" w:hAnsi="Times New Roman" w:eastAsia="Times New Roman" w:cs="Times New Roman"/>
                <w:b/>
                <w:i w:val="0"/>
                <w:color w:val="000000"/>
                <w:sz w:val="18"/>
              </w:rPr>
              <w:t>Assigned counts</w:t>
            </w:r>
          </w:p>
        </w:tc>
        <w:tc>
          <w:tcPr>
            <w:tcW w:type="dxa" w:w="2952"/>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left"/>
            </w:pPr>
            <w:r>
              <w:rPr>
                <w:rFonts w:ascii="Times New Roman" w:hAnsi="Times New Roman" w:eastAsia="Times New Roman" w:cs="Times New Roman"/>
                <w:b/>
                <w:i w:val="0"/>
                <w:color w:val="000000"/>
                <w:sz w:val="18"/>
              </w:rPr>
              <w:t>Assigned rate</w:t>
            </w:r>
          </w:p>
        </w:tc>
        <w:tc>
          <w:tcPr>
            <w:tcW w:type="dxa" w:w="1800"/>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i w:val="0"/>
                <w:color w:val="000000"/>
                <w:sz w:val="18"/>
              </w:rPr>
              <w:t>Detected genes</w:t>
            </w:r>
          </w:p>
        </w:tc>
        <w:tc>
          <w:tcPr>
            <w:tcW w:type="dxa" w:w="1656"/>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i w:val="0"/>
                <w:color w:val="000000"/>
                <w:sz w:val="18"/>
              </w:rPr>
              <w:t>Chimera rate</w:t>
            </w:r>
          </w:p>
        </w:tc>
      </w:tr>
      <w:tr>
        <w:trPr>
          <w:trHeight/>
        </w:trPr>
        <w:tc>
          <w:tcPr>
            <w:tcW w:type="dxa" w:w="835"/>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val="0"/>
                <w:i w:val="0"/>
                <w:color w:val="000000"/>
                <w:sz w:val="18"/>
              </w:rPr>
              <w:t>Original</w:t>
            </w:r>
          </w:p>
        </w:tc>
        <w:tc>
          <w:tcPr>
            <w:tcW w:type="dxa" w:w="1958"/>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left"/>
            </w:pPr>
            <w:r>
              <w:rPr>
                <w:rFonts w:ascii="Times New Roman" w:hAnsi="Times New Roman" w:eastAsia="Times New Roman" w:cs="Times New Roman"/>
                <w:b w:val="0"/>
                <w:i w:val="0"/>
                <w:color w:val="000000"/>
                <w:sz w:val="18"/>
              </w:rPr>
              <w:t>509</w:t>
            </w:r>
          </w:p>
        </w:tc>
        <w:tc>
          <w:tcPr>
            <w:tcW w:type="dxa" w:w="2952"/>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left"/>
            </w:pPr>
            <w:r>
              <w:rPr>
                <w:rFonts w:ascii="Times New Roman" w:hAnsi="Times New Roman" w:eastAsia="Times New Roman" w:cs="Times New Roman"/>
                <w:b w:val="0"/>
                <w:i w:val="0"/>
                <w:color w:val="000000"/>
                <w:sz w:val="18"/>
              </w:rPr>
              <w:t>0.00079%</w:t>
            </w:r>
          </w:p>
        </w:tc>
        <w:tc>
          <w:tcPr>
            <w:tcW w:type="dxa" w:w="1800"/>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val="0"/>
                <w:i w:val="0"/>
                <w:color w:val="000000"/>
                <w:sz w:val="18"/>
              </w:rPr>
              <w:t>167</w:t>
            </w:r>
          </w:p>
        </w:tc>
        <w:tc>
          <w:tcPr>
            <w:tcW w:type="dxa" w:w="1656"/>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val="0"/>
                <w:i w:val="0"/>
                <w:color w:val="000000"/>
                <w:sz w:val="18"/>
              </w:rPr>
              <w:t>96.68%</w:t>
            </w:r>
          </w:p>
        </w:tc>
      </w:tr>
      <w:tr>
        <w:trPr>
          <w:trHeight/>
        </w:trPr>
        <w:tc>
          <w:tcPr>
            <w:tcW w:type="dxa" w:w="835"/>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val="0"/>
                <w:i w:val="0"/>
                <w:color w:val="000000"/>
                <w:sz w:val="18"/>
              </w:rPr>
              <w:t>Corrected</w:t>
            </w:r>
          </w:p>
        </w:tc>
        <w:tc>
          <w:tcPr>
            <w:tcW w:type="dxa" w:w="1958"/>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left"/>
            </w:pPr>
            <w:r>
              <w:rPr>
                <w:rFonts w:ascii="Times New Roman" w:hAnsi="Times New Roman" w:eastAsia="Times New Roman" w:cs="Times New Roman"/>
                <w:b w:val="0"/>
                <w:i w:val="0"/>
                <w:color w:val="000000"/>
                <w:sz w:val="18"/>
              </w:rPr>
              <w:t>37,657,740</w:t>
            </w:r>
          </w:p>
        </w:tc>
        <w:tc>
          <w:tcPr>
            <w:tcW w:type="dxa" w:w="2952"/>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left"/>
            </w:pPr>
            <w:r>
              <w:rPr>
                <w:rFonts w:ascii="Times New Roman" w:hAnsi="Times New Roman" w:eastAsia="Times New Roman" w:cs="Times New Roman"/>
                <w:b w:val="0"/>
                <w:i w:val="0"/>
                <w:color w:val="000000"/>
                <w:sz w:val="18"/>
              </w:rPr>
              <w:t>68.94%</w:t>
            </w:r>
          </w:p>
        </w:tc>
        <w:tc>
          <w:tcPr>
            <w:tcW w:type="dxa" w:w="1800"/>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val="0"/>
                <w:i w:val="0"/>
                <w:color w:val="000000"/>
                <w:sz w:val="18"/>
              </w:rPr>
              <w:t>18,871</w:t>
            </w:r>
          </w:p>
        </w:tc>
        <w:tc>
          <w:tcPr>
            <w:tcW w:type="dxa" w:w="1656"/>
            <w:vAlign w:val="center"/>
            <w:tcMar>
              <w:top w:w="90" w:type="dxa"/>
              <w:start w:w="110" w:type="dxa"/>
              <w:bottom w:w="90" w:type="dxa"/>
              <w:end w:w="110" w:type="dxa"/>
            </w:tcMar>
            <w:tcBorders>
              <w:top w:val="single" w:sz="6" w:color="000000"/>
              <w:left w:val="single" w:sz="6" w:color="000000"/>
              <w:bottom w:val="single" w:sz="6" w:color="000000"/>
              <w:right w:val="single" w:sz="6" w:color="000000"/>
              <w:insideH w:val="single" w:sz="6" w:color="000000"/>
              <w:insideV w:val="single" w:sz="6" w:color="000000"/>
            </w:tcBorders>
          </w:tcPr>
          <w:p>
            <w:pPr>
              <w:spacing w:before="0" w:after="0" w:line="252" w:lineRule="auto"/>
              <w:jc w:val="center"/>
            </w:pPr>
            <w:r>
              <w:rPr>
                <w:rFonts w:ascii="Times New Roman" w:hAnsi="Times New Roman" w:eastAsia="Times New Roman" w:cs="Times New Roman"/>
                <w:b w:val="0"/>
                <w:i w:val="0"/>
                <w:color w:val="000000"/>
                <w:sz w:val="18"/>
              </w:rPr>
              <w:t>0.42%</w:t>
            </w:r>
          </w:p>
        </w:tc>
      </w:tr>
    </w:tbl>
    <w:p>
      <w:pPr>
        <w:keepNext/>
        <w:spacing w:before="240" w:after="160" w:line="252" w:lineRule="auto"/>
        <w:jc w:val="both"/>
      </w:pPr>
      <w:r>
        <w:rPr>
          <w:rFonts w:ascii="Times New Roman" w:hAnsi="Times New Roman" w:eastAsia="Times New Roman" w:cs="Times New Roman"/>
          <w:b/>
          <w:i w:val="0"/>
          <w:color w:val="000000"/>
          <w:sz w:val="20"/>
        </w:rPr>
        <w:t>Table C1  M1 before and after input correction</w:t>
      </w:r>
    </w:p>
    <w:p>
      <w:pPr>
        <w:keepNext w:val="0"/>
        <w:spacing w:before="0" w:after="200" w:line="252" w:lineRule="auto"/>
        <w:jc w:val="both"/>
      </w:pPr>
      <w:r>
        <w:rPr>
          <w:rFonts w:ascii="Times New Roman" w:hAnsi="Times New Roman" w:eastAsia="Times New Roman" w:cs="Times New Roman"/>
          <w:b w:val="0"/>
          <w:i w:val="0"/>
          <w:color w:val="000000"/>
          <w:sz w:val="18"/>
        </w:rPr>
        <w:t>Assigned and chimera rates use all featureCounts summary records. Detected genes have raw counts above zero.</w:t>
      </w:r>
      <w:r>
        <w:rPr>
          <w:sz w:val="16"/>
          <w:vertAlign w:val="superscript"/>
        </w:rPr>
        <w:t>2</w:t>
      </w:r>
    </w:p>
    <w:p>
      <w:pPr>
        <w:pStyle w:val="Heading1"/>
        <w:keepNext/>
        <w:spacing w:before="220" w:after="100" w:line="252" w:lineRule="auto"/>
      </w:pPr>
      <w:r>
        <w:rPr>
          <w:rFonts w:ascii="Times New Roman" w:hAnsi="Times New Roman" w:eastAsia="Times New Roman" w:cs="Times New Roman"/>
          <w:b/>
          <w:i w:val="0"/>
          <w:color w:val="000000"/>
          <w:sz w:val="28"/>
        </w:rPr>
        <w:t>References</w:t>
      </w:r>
    </w:p>
    <w:p>
      <w:pPr>
        <w:pStyle w:val="ListNumber"/>
        <w:keepNext w:val="0"/>
        <w:spacing w:before="0" w:after="100" w:line="252" w:lineRule="auto"/>
        <w:jc w:val="left"/>
      </w:pPr>
      <w:r>
        <w:rPr>
          <w:sz w:val="18"/>
        </w:rPr>
        <w:t>Klomp JA, Klomp JE, Stalnecker CA, Bryant KL, Edwards AC, Drizyte-Miller K, et al. Defining the KRAS- and ERK-dependent transcriptome in KRAS-mutant cancers. Science. 2024 Jun 7;384(6700):eadk0775. doi:10.1126/science.adk0775.</w:t>
      </w:r>
    </w:p>
    <w:p>
      <w:pPr>
        <w:pStyle w:val="ListNumber"/>
        <w:keepNext w:val="0"/>
        <w:spacing w:before="0" w:after="100" w:line="252" w:lineRule="auto"/>
        <w:jc w:val="left"/>
      </w:pPr>
      <w:r>
        <w:rPr>
          <w:sz w:val="18"/>
        </w:rPr>
        <w:t>Lin Y. PDAC KRAS RNA-seq: analysis for 2026-10-01 [Internet]. GitHub; 2026 [cited 2026 Oct 1]. Available from: https://github.com/yichuanlin07/pdac-kras-rnaseq/tree/462867100fa1628d716cb7722a574da5f90577df/analysis/2026-10-01</w:t>
      </w:r>
    </w:p>
    <w:p>
      <w:pPr>
        <w:pStyle w:val="ListNumber"/>
        <w:keepNext w:val="0"/>
        <w:spacing w:before="0" w:after="100" w:line="252" w:lineRule="auto"/>
        <w:jc w:val="left"/>
      </w:pPr>
      <w:r>
        <w:rPr>
          <w:sz w:val="18"/>
        </w:rPr>
        <w:t>European Bioinformatics Institute. European Nucleotide Archive: SRR24828469 [Internet]. [cited 2026 Oct 1]. Available from: https://www.ebi.ac.uk/ena/browser/view/SRR24828469</w:t>
      </w:r>
    </w:p>
    <w:p>
      <w:pPr>
        <w:keepNext w:val="0"/>
        <w:spacing w:before="0" w:after="100" w:line="252" w:lineRule="auto"/>
        <w:jc w:val="both"/>
      </w:pPr>
      <w:r>
        <w:rPr>
          <w:rFonts w:ascii="Times New Roman" w:hAnsi="Times New Roman" w:eastAsia="Times New Roman" w:cs="Times New Roman"/>
          <w:b w:val="0"/>
          <w:i w:val="0"/>
          <w:color w:val="000000"/>
          <w:sz w:val="21"/>
        </w:rPr>
        <w:t>Review: ____________________    Date: ____________________</w:t>
      </w:r>
    </w:p>
    <w:sectPr w:rsidR="00FC693F" w:rsidRPr="0006063C" w:rsidSect="00034616">
      <w:footerReference w:type="default" r:id="rId9"/>
      <w:pgSz w:w="12240" w:h="15840"/>
      <w:pgMar w:top="1037" w:right="1195" w:bottom="979" w:left="1195" w:header="403"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17"/>
      </w:rPr>
      <w:t xml:space="preserve">Page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KRAS suppression in pancreatic cancer cells</dc:title>
  <dc:subject>RNA-seq progress report through 1 October 2026</dc:subject>
  <dc:creator>Yichuan Lin</dc:creator>
  <cp:keywords/>
  <dc:description/>
  <cp:lastModifiedBy/>
  <cp:revision>1</cp:revision>
  <dcterms:created xsi:type="dcterms:W3CDTF">2013-12-23T23:15:00Z</dcterms:created>
  <dcterms:modified xsi:type="dcterms:W3CDTF">2013-12-23T23:15:00Z</dcterms:modified>
  <cp:category/>
</cp:coreProperties>
</file>