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100" w:line="252" w:lineRule="auto"/>
        <w:jc w:val="left"/>
      </w:pPr>
      <w:r>
        <w:rPr>
          <w:rFonts w:ascii="Times New Roman" w:hAnsi="Times New Roman" w:eastAsia="Times New Roman" w:cs="Times New Roman"/>
          <w:b/>
          <w:i w:val="0"/>
          <w:color w:val="000000"/>
          <w:sz w:val="40"/>
        </w:rPr>
        <w:t>KRAS suppression in pancreatic cancer cells</w:t>
      </w:r>
    </w:p>
    <w:p>
      <w:pPr>
        <w:keepNext w:val="0"/>
        <w:spacing w:before="0" w:after="100" w:line="252" w:lineRule="auto"/>
      </w:pPr>
      <w:r>
        <w:rPr>
          <w:rFonts w:ascii="Times New Roman" w:hAnsi="Times New Roman" w:eastAsia="Times New Roman" w:cs="Times New Roman"/>
          <w:b/>
          <w:i w:val="0"/>
          <w:color w:val="000000"/>
          <w:sz w:val="19"/>
        </w:rPr>
        <w:t>RNA-SEQ WEEKLY PROGRESS REPORT | WEEK 4</w:t>
      </w:r>
    </w:p>
    <w:p>
      <w:pPr>
        <w:keepNext w:val="0"/>
        <w:spacing w:before="0" w:after="100" w:line="252" w:lineRule="auto"/>
      </w:pPr>
      <w:r>
        <w:rPr>
          <w:rFonts w:ascii="Times New Roman" w:hAnsi="Times New Roman" w:eastAsia="Times New Roman" w:cs="Times New Roman"/>
          <w:b w:val="0"/>
          <w:i w:val="0"/>
          <w:color w:val="000000"/>
          <w:sz w:val="18"/>
        </w:rPr>
        <w:t>Yichuan Lin | University of Ottawa, Faculty of Science | 2026-10-04 | Version 1</w:t>
      </w:r>
    </w:p>
    <w:p>
      <w:pPr>
        <w:pStyle w:val="Heading1"/>
        <w:keepNext/>
        <w:spacing w:before="220" w:after="100" w:line="252" w:lineRule="auto"/>
      </w:pPr>
      <w:r>
        <w:rPr>
          <w:rFonts w:ascii="Times New Roman" w:hAnsi="Times New Roman" w:eastAsia="Times New Roman" w:cs="Times New Roman"/>
          <w:b/>
          <w:i w:val="0"/>
          <w:color w:val="000000"/>
          <w:sz w:val="28"/>
        </w:rPr>
        <w:t>1 Overview</w:t>
      </w:r>
    </w:p>
    <w:p>
      <w:pPr>
        <w:keepNext w:val="0"/>
        <w:spacing w:before="0" w:after="200" w:line="252" w:lineRule="auto"/>
        <w:jc w:val="both"/>
      </w:pPr>
      <w:r>
        <w:t>This week completes differential expression analysis of the real PRJNA980201 counts from eight pancreatic cancer cell lines. The study examines the response to KRAS siRNA relative to control siRNA. The published study provides a biological reference for this reanalysis.</w:t>
      </w:r>
      <w:r>
        <w:rPr>
          <w:rFonts w:ascii="Times New Roman" w:hAnsi="Times New Roman"/>
          <w:sz w:val="16"/>
          <w:vertAlign w:val="superscript"/>
        </w:rPr>
        <w:t>1</w:t>
      </w:r>
    </w:p>
    <w:p>
      <w:pPr>
        <w:pStyle w:val="Heading1"/>
        <w:keepNext/>
        <w:spacing w:before="220" w:after="100" w:line="252" w:lineRule="auto"/>
      </w:pPr>
      <w:r>
        <w:rPr>
          <w:rFonts w:ascii="Times New Roman" w:hAnsi="Times New Roman" w:eastAsia="Times New Roman" w:cs="Times New Roman"/>
          <w:b/>
          <w:i w:val="0"/>
          <w:color w:val="000000"/>
          <w:sz w:val="28"/>
        </w:rPr>
        <w:t>2 Work completed</w:t>
      </w:r>
    </w:p>
    <w:p>
      <w:pPr>
        <w:keepNext w:val="0"/>
        <w:spacing w:before="0" w:after="200" w:line="252" w:lineRule="auto"/>
        <w:jc w:val="both"/>
      </w:pPr>
      <w:r>
        <w:t>The 28,395-gene matrix matched all 17 original run tables and the sample metadata. Counts were nonnegative integers, sample order was exact, and assigned-count totals agreed. Public metadata confirmed the reversed local P5 naming: SRR24828471 is MP2_K2v2; SRR24828472 is MP2_K2.</w:t>
      </w:r>
      <w:r>
        <w:rPr>
          <w:rFonts w:ascii="Times New Roman" w:hAnsi="Times New Roman"/>
          <w:sz w:val="16"/>
          <w:vertAlign w:val="superscript"/>
        </w:rPr>
        <w:t>6</w:t>
      </w:r>
    </w:p>
    <w:p>
      <w:pPr>
        <w:keepNext w:val="0"/>
        <w:spacing w:before="0" w:after="200" w:line="252" w:lineRule="auto"/>
        <w:jc w:val="both"/>
      </w:pPr>
      <w:r>
        <w:t>Both classroom methods were implemented with the design ~condition + cell_line, Control as reference, and a common filter of at least 10 counts in two samples. The tutorial-matched exploratory main analysis sums the two P5 KRAS libraries, producing 16 observations, a full-rank nine-column design and seven residual degrees of freedom. DESeq2 uses size-factor normalization and a Wald test; edgeR uses TMM normalization and robust quasi-likelihood fitting.</w:t>
      </w:r>
      <w:r>
        <w:rPr>
          <w:rFonts w:ascii="Times New Roman" w:hAnsi="Times New Roman"/>
          <w:sz w:val="16"/>
          <w:vertAlign w:val="superscript"/>
        </w:rPr>
        <w:t>2,3,5</w:t>
      </w:r>
    </w:p>
    <w:p>
      <w:pPr>
        <w:keepNext w:val="0"/>
        <w:spacing w:before="0" w:after="200" w:line="252" w:lineRule="auto"/>
        <w:jc w:val="both"/>
      </w:pPr>
      <w:r>
        <w:t>At FDR &lt; 0.05, DESeq2 detected 5,943 genes and edgeR detected 6,431, with 5,442 shared genes (Jaccard 0.785). Unshrunk log2FC estimates correlated at Pearson r = 0.884 across 17,819 genes. Cell-line differences dominate the displayed PCA; a lack of separation by treatment on the first two components does not negate the paired model result. Figures and detailed comparisons are in Appendices A-D.</w:t>
      </w:r>
    </w:p>
    <w:p>
      <w:pPr>
        <w:keepNext w:val="0"/>
        <w:spacing w:before="0" w:after="200" w:line="252" w:lineRule="auto"/>
        <w:jc w:val="both"/>
      </w:pPr>
      <w:r>
        <w:t>P5 was also analysed with each library retained separately. There were 5,084 genes significant with the same direction in both methods under all three choices. These fits share the same data and assess sensitivity, rather than independent replication. Two fresh complete runs reproduced all numerical outputs exactly; reversed contrasts negated log2FC and retained p values.</w:t>
      </w:r>
    </w:p>
    <w:p>
      <w:pPr>
        <w:pStyle w:val="Heading1"/>
        <w:keepNext/>
        <w:spacing w:before="220" w:after="100" w:line="252" w:lineRule="auto"/>
      </w:pPr>
      <w:r>
        <w:rPr>
          <w:rFonts w:ascii="Times New Roman" w:hAnsi="Times New Roman" w:eastAsia="Times New Roman" w:cs="Times New Roman"/>
          <w:b/>
          <w:i w:val="0"/>
          <w:color w:val="000000"/>
          <w:sz w:val="28"/>
        </w:rPr>
        <w:t>3 Next steps</w:t>
      </w:r>
    </w:p>
    <w:p>
      <w:pPr>
        <w:keepNext w:val="0"/>
        <w:spacing w:before="0" w:after="200" w:line="252" w:lineRule="auto"/>
        <w:jc w:val="both"/>
      </w:pPr>
      <w:r>
        <w:t>Prepare to discuss method assumptions, PCA, overlapping genes and the paper benchmark on Saturday, October 10. Resolve the P5 repeat type before drawing confirmatory conclusions. Review genes near the FDR boundary and assess cell-line-specific responses when the experimental design is clarified. LOO remains a topic for the next discussion. Prepare a progress update for next week.</w:t>
      </w:r>
      <w:r>
        <w:rPr>
          <w:rFonts w:ascii="Times New Roman" w:hAnsi="Times New Roman"/>
          <w:sz w:val="16"/>
          <w:vertAlign w:val="superscript"/>
        </w:rPr>
        <w:t>5</w:t>
      </w:r>
    </w:p>
    <w:p>
      <w:pPr>
        <w:pStyle w:val="Heading1"/>
        <w:keepNext/>
        <w:spacing w:before="220" w:after="100" w:line="252" w:lineRule="auto"/>
      </w:pPr>
      <w:r>
        <w:rPr>
          <w:rFonts w:ascii="Times New Roman" w:hAnsi="Times New Roman" w:eastAsia="Times New Roman" w:cs="Times New Roman"/>
          <w:b/>
          <w:i w:val="0"/>
          <w:color w:val="000000"/>
          <w:sz w:val="28"/>
        </w:rPr>
        <w:t>4 Summary</w:t>
      </w:r>
    </w:p>
    <w:p>
      <w:pPr>
        <w:keepNext w:val="0"/>
        <w:spacing w:before="0" w:after="200" w:line="252" w:lineRule="auto"/>
        <w:jc w:val="both"/>
      </w:pPr>
      <w:r>
        <w:t>The common KRAS siRNA response is consistent across methods and broadly stable to the P5 choice, but individual gene lists change. KRAS, DUSP6, SPRY4, MYC and CCND1 are robust downward candidates; EMP2 is a robust upward candidate. These are expression associations, not proof of direct regulation, protein change or therapeutic relevance. The unresolved repeat identity and different upstream pipeline limit interpretation.</w:t>
      </w:r>
    </w:p>
    <w:p>
      <w:pPr>
        <w:pStyle w:val="Heading1"/>
        <w:keepNext/>
        <w:pageBreakBefore/>
        <w:spacing w:before="220" w:after="100" w:line="252" w:lineRule="auto"/>
      </w:pPr>
      <w:r>
        <w:rPr>
          <w:rFonts w:ascii="Times New Roman" w:hAnsi="Times New Roman" w:eastAsia="Times New Roman" w:cs="Times New Roman"/>
          <w:b/>
          <w:i w:val="0"/>
          <w:color w:val="000000"/>
          <w:sz w:val="28"/>
        </w:rPr>
        <w:t>Appendix A Sample structure and transformed expression</w:t>
      </w:r>
    </w:p>
    <w:p>
      <w:pPr>
        <w:keepNext/>
        <w:spacing w:before="0" w:after="120" w:line="252" w:lineRule="auto"/>
        <w:jc w:val="center"/>
      </w:pPr>
      <w:r>
        <w:rPr>
          <w:rFonts w:ascii="Times New Roman" w:hAnsi="Times New Roman" w:eastAsia="Times New Roman" w:cs="Times New Roman"/>
          <w:b w:val="0"/>
          <w:i w:val="0"/>
          <w:color w:val="000000"/>
          <w:sz w:val="21"/>
        </w:rPr>
      </w:r>
      <w:r>
        <w:drawing>
          <wp:inline xmlns:a="http://schemas.openxmlformats.org/drawingml/2006/main" xmlns:pic="http://schemas.openxmlformats.org/drawingml/2006/picture">
            <wp:extent cx="6144768" cy="2728263"/>
            <wp:docPr id="1" name="Picture 1"/>
            <wp:cNvGraphicFramePr>
              <a:graphicFrameLocks noChangeAspect="1"/>
            </wp:cNvGraphicFramePr>
            <a:graphic>
              <a:graphicData uri="http://schemas.openxmlformats.org/drawingml/2006/picture">
                <pic:pic>
                  <pic:nvPicPr>
                    <pic:cNvPr id="0" name="A1_PCA.png"/>
                    <pic:cNvPicPr/>
                  </pic:nvPicPr>
                  <pic:blipFill>
                    <a:blip r:embed="rId10"/>
                    <a:stretch>
                      <a:fillRect/>
                    </a:stretch>
                  </pic:blipFill>
                  <pic:spPr>
                    <a:xfrm>
                      <a:off x="0" y="0"/>
                      <a:ext cx="6144768" cy="2728263"/>
                    </a:xfrm>
                    <a:prstGeom prst="rect"/>
                  </pic:spPr>
                </pic:pic>
              </a:graphicData>
            </a:graphic>
          </wp:inline>
        </w:drawing>
      </w:r>
    </w:p>
    <w:p>
      <w:pPr>
        <w:keepNext/>
        <w:spacing w:before="0" w:after="100" w:line="252" w:lineRule="auto"/>
        <w:jc w:val="both"/>
      </w:pPr>
      <w:r>
        <w:rPr>
          <w:rFonts w:ascii="Times New Roman" w:hAnsi="Times New Roman" w:eastAsia="Times New Roman" w:cs="Times New Roman"/>
          <w:b/>
          <w:i w:val="0"/>
          <w:color w:val="000000"/>
          <w:sz w:val="20"/>
        </w:rPr>
        <w:t>Figure A1  PCA of the main 16-sample analysis</w:t>
      </w:r>
    </w:p>
    <w:p>
      <w:pPr>
        <w:keepNext w:val="0"/>
        <w:spacing w:before="0" w:after="240" w:line="252" w:lineRule="auto"/>
        <w:jc w:val="left"/>
      </w:pPr>
      <w:r>
        <w:rPr>
          <w:rFonts w:ascii="Times New Roman" w:hAnsi="Times New Roman" w:eastAsia="Times New Roman" w:cs="Times New Roman"/>
          <w:b w:val="0"/>
          <w:i w:val="0"/>
          <w:color w:val="000000"/>
          <w:sz w:val="18"/>
        </w:rPr>
        <w:t>PCA uses the 500 most variable genes after DESeq2 VST (blind = FALSE) or edgeR TMM logCPM (prior count 2). Genes are centred without scaling; cell-line effects have not been removed. Blue circles denote Control; red triangles denote KRAS siRNA. Lines connect matched conditions. PC1/PC2 explain 35.1%/21.7% for DESeq2 and 33.7%/20.6% for edgeR. PCA is descriptive and does not test treatment significance.</w:t>
      </w:r>
    </w:p>
    <w:p>
      <w:pPr>
        <w:keepNext/>
        <w:spacing w:before="0" w:after="120" w:line="252" w:lineRule="auto"/>
        <w:jc w:val="center"/>
      </w:pPr>
      <w:r>
        <w:rPr>
          <w:rFonts w:ascii="Times New Roman" w:hAnsi="Times New Roman" w:eastAsia="Times New Roman" w:cs="Times New Roman"/>
          <w:b w:val="0"/>
          <w:i w:val="0"/>
          <w:color w:val="000000"/>
          <w:sz w:val="21"/>
        </w:rPr>
      </w:r>
      <w:r>
        <w:drawing>
          <wp:inline xmlns:a="http://schemas.openxmlformats.org/drawingml/2006/main" xmlns:pic="http://schemas.openxmlformats.org/drawingml/2006/picture">
            <wp:extent cx="6144768" cy="2733362"/>
            <wp:docPr id="2" name="Picture 2"/>
            <wp:cNvGraphicFramePr>
              <a:graphicFrameLocks noChangeAspect="1"/>
            </wp:cNvGraphicFramePr>
            <a:graphic>
              <a:graphicData uri="http://schemas.openxmlformats.org/drawingml/2006/picture">
                <pic:pic>
                  <pic:nvPicPr>
                    <pic:cNvPr id="0" name="A2_sample_distances.png"/>
                    <pic:cNvPicPr/>
                  </pic:nvPicPr>
                  <pic:blipFill>
                    <a:blip r:embed="rId15"/>
                    <a:stretch>
                      <a:fillRect/>
                    </a:stretch>
                  </pic:blipFill>
                  <pic:spPr>
                    <a:xfrm>
                      <a:off x="0" y="0"/>
                      <a:ext cx="6144768" cy="2733362"/>
                    </a:xfrm>
                    <a:prstGeom prst="rect"/>
                  </pic:spPr>
                </pic:pic>
              </a:graphicData>
            </a:graphic>
          </wp:inline>
        </w:drawing>
      </w:r>
    </w:p>
    <w:p>
      <w:pPr>
        <w:keepNext/>
        <w:spacing w:before="0" w:after="100" w:line="252" w:lineRule="auto"/>
        <w:jc w:val="both"/>
      </w:pPr>
      <w:r>
        <w:rPr>
          <w:rFonts w:ascii="Times New Roman" w:hAnsi="Times New Roman" w:eastAsia="Times New Roman" w:cs="Times New Roman"/>
          <w:b/>
          <w:i w:val="0"/>
          <w:color w:val="000000"/>
          <w:sz w:val="20"/>
        </w:rPr>
        <w:t>Figure A2  Sample distances</w:t>
      </w:r>
    </w:p>
    <w:p>
      <w:pPr>
        <w:keepNext w:val="0"/>
        <w:spacing w:before="0" w:after="240" w:line="252" w:lineRule="auto"/>
        <w:jc w:val="left"/>
      </w:pPr>
      <w:r>
        <w:rPr>
          <w:rFonts w:ascii="Times New Roman" w:hAnsi="Times New Roman" w:eastAsia="Times New Roman" w:cs="Times New Roman"/>
          <w:b w:val="0"/>
          <w:i w:val="0"/>
          <w:color w:val="000000"/>
          <w:sz w:val="18"/>
        </w:rPr>
        <w:t>Euclidean distances use all 17,819 prefiltered genes on each method’s transformed scale, with complete-linkage ordering. C = Control; K = KRAS siRNA; MP2 = MiaPaca-2. Median within-line versus between-line distances are 32.3 versus 118.3 for VST, and 81.7 versus 304.2 for logCPM. Distances are not comparable in absolute magnitude across the two transformations. Most matched conditions cluster closely; this supports including cell line in the model.</w:t>
      </w:r>
    </w:p>
    <w:p>
      <w:pPr>
        <w:pStyle w:val="Heading1"/>
        <w:keepNext/>
        <w:pageBreakBefore/>
        <w:spacing w:before="220" w:after="100" w:line="252" w:lineRule="auto"/>
      </w:pPr>
      <w:r>
        <w:rPr>
          <w:rFonts w:ascii="Times New Roman" w:hAnsi="Times New Roman" w:eastAsia="Times New Roman" w:cs="Times New Roman"/>
          <w:b/>
          <w:i w:val="0"/>
          <w:color w:val="000000"/>
          <w:sz w:val="28"/>
        </w:rPr>
        <w:t>Appendix B Differential expression and method comparison</w:t>
      </w:r>
    </w:p>
    <w:p>
      <w:pPr>
        <w:keepNext/>
        <w:spacing w:before="0" w:after="120" w:line="252" w:lineRule="auto"/>
        <w:jc w:val="center"/>
      </w:pPr>
      <w:r>
        <w:rPr>
          <w:rFonts w:ascii="Times New Roman" w:hAnsi="Times New Roman" w:eastAsia="Times New Roman" w:cs="Times New Roman"/>
          <w:b w:val="0"/>
          <w:i w:val="0"/>
          <w:color w:val="000000"/>
          <w:sz w:val="21"/>
        </w:rPr>
      </w:r>
      <w:r>
        <w:drawing>
          <wp:inline xmlns:a="http://schemas.openxmlformats.org/drawingml/2006/main" xmlns:pic="http://schemas.openxmlformats.org/drawingml/2006/picture">
            <wp:extent cx="6144768" cy="2961206"/>
            <wp:docPr id="3" name="Picture 3"/>
            <wp:cNvGraphicFramePr>
              <a:graphicFrameLocks noChangeAspect="1"/>
            </wp:cNvGraphicFramePr>
            <a:graphic>
              <a:graphicData uri="http://schemas.openxmlformats.org/drawingml/2006/picture">
                <pic:pic>
                  <pic:nvPicPr>
                    <pic:cNvPr id="0" name="B1_volcanoes.png"/>
                    <pic:cNvPicPr/>
                  </pic:nvPicPr>
                  <pic:blipFill>
                    <a:blip r:embed="rId16"/>
                    <a:stretch>
                      <a:fillRect/>
                    </a:stretch>
                  </pic:blipFill>
                  <pic:spPr>
                    <a:xfrm>
                      <a:off x="0" y="0"/>
                      <a:ext cx="6144768" cy="2961206"/>
                    </a:xfrm>
                    <a:prstGeom prst="rect"/>
                  </pic:spPr>
                </pic:pic>
              </a:graphicData>
            </a:graphic>
          </wp:inline>
        </w:drawing>
      </w:r>
    </w:p>
    <w:p>
      <w:pPr>
        <w:keepNext/>
        <w:spacing w:before="0" w:after="100" w:line="252" w:lineRule="auto"/>
        <w:jc w:val="both"/>
      </w:pPr>
      <w:r>
        <w:rPr>
          <w:rFonts w:ascii="Times New Roman" w:hAnsi="Times New Roman" w:eastAsia="Times New Roman" w:cs="Times New Roman"/>
          <w:b/>
          <w:i w:val="0"/>
          <w:color w:val="000000"/>
          <w:sz w:val="20"/>
        </w:rPr>
        <w:t>Figure B1  Differential expression after KRAS siRNA</w:t>
      </w:r>
    </w:p>
    <w:p>
      <w:pPr>
        <w:keepNext w:val="0"/>
        <w:spacing w:before="0" w:after="240" w:line="252" w:lineRule="auto"/>
        <w:jc w:val="left"/>
      </w:pPr>
      <w:r>
        <w:rPr>
          <w:rFonts w:ascii="Times New Roman" w:hAnsi="Times New Roman" w:eastAsia="Times New Roman" w:cs="Times New Roman"/>
          <w:b w:val="0"/>
          <w:i w:val="0"/>
          <w:color w:val="000000"/>
          <w:sz w:val="18"/>
        </w:rPr>
        <w:t>Adjusted p values determine colour: blue = downregulated; red = upregulated; grey = FDR &gt;= 0.05. The horizontal line is FDR 0.05. Positive log2FC means higher expression after KRAS siRNA. DESeq2 displays apeglm-shrunken effect sizes, while its Wald p values remain unchanged; edgeR displays its reported logFC. The different vertical scales reflect different tests and should not be read as equivalent evidence strength. No effect-size gate defines the primary DE lists.</w:t>
      </w:r>
      <w:r>
        <w:rPr>
          <w:rFonts w:ascii="Times New Roman" w:hAnsi="Times New Roman"/>
          <w:sz w:val="16"/>
          <w:vertAlign w:val="superscript"/>
        </w:rPr>
        <w:t>4</w:t>
      </w:r>
    </w:p>
    <w:p>
      <w:pPr>
        <w:keepNext/>
        <w:spacing w:before="0" w:after="120" w:line="252" w:lineRule="auto"/>
        <w:jc w:val="center"/>
      </w:pPr>
      <w:r>
        <w:rPr>
          <w:rFonts w:ascii="Times New Roman" w:hAnsi="Times New Roman" w:eastAsia="Times New Roman" w:cs="Times New Roman"/>
          <w:b w:val="0"/>
          <w:i w:val="0"/>
          <w:color w:val="000000"/>
          <w:sz w:val="21"/>
        </w:rPr>
      </w:r>
      <w:r>
        <w:drawing>
          <wp:inline xmlns:a="http://schemas.openxmlformats.org/drawingml/2006/main" xmlns:pic="http://schemas.openxmlformats.org/drawingml/2006/picture">
            <wp:extent cx="6144768" cy="2534143"/>
            <wp:docPr id="4" name="Picture 4"/>
            <wp:cNvGraphicFramePr>
              <a:graphicFrameLocks noChangeAspect="1"/>
            </wp:cNvGraphicFramePr>
            <a:graphic>
              <a:graphicData uri="http://schemas.openxmlformats.org/drawingml/2006/picture">
                <pic:pic>
                  <pic:nvPicPr>
                    <pic:cNvPr id="0" name="B2_counts_and_agreement.png"/>
                    <pic:cNvPicPr/>
                  </pic:nvPicPr>
                  <pic:blipFill>
                    <a:blip r:embed="rId17"/>
                    <a:stretch>
                      <a:fillRect/>
                    </a:stretch>
                  </pic:blipFill>
                  <pic:spPr>
                    <a:xfrm>
                      <a:off x="0" y="0"/>
                      <a:ext cx="6144768" cy="2534143"/>
                    </a:xfrm>
                    <a:prstGeom prst="rect"/>
                  </pic:spPr>
                </pic:pic>
              </a:graphicData>
            </a:graphic>
          </wp:inline>
        </w:drawing>
      </w:r>
    </w:p>
    <w:p>
      <w:pPr>
        <w:keepNext/>
        <w:spacing w:before="0" w:after="100" w:line="252" w:lineRule="auto"/>
        <w:jc w:val="both"/>
      </w:pPr>
      <w:r>
        <w:rPr>
          <w:rFonts w:ascii="Times New Roman" w:hAnsi="Times New Roman" w:eastAsia="Times New Roman" w:cs="Times New Roman"/>
          <w:b/>
          <w:i w:val="0"/>
          <w:color w:val="000000"/>
          <w:sz w:val="20"/>
        </w:rPr>
        <w:t>Figure B2  Gene counts and unshrunk effect-size agreement</w:t>
      </w:r>
    </w:p>
    <w:p>
      <w:pPr>
        <w:keepNext w:val="0"/>
        <w:spacing w:before="0" w:after="240" w:line="252" w:lineRule="auto"/>
        <w:jc w:val="left"/>
      </w:pPr>
      <w:r>
        <w:rPr>
          <w:rFonts w:ascii="Times New Roman" w:hAnsi="Times New Roman" w:eastAsia="Times New Roman" w:cs="Times New Roman"/>
          <w:b w:val="0"/>
          <w:i w:val="0"/>
          <w:color w:val="000000"/>
          <w:sz w:val="18"/>
        </w:rPr>
        <w:t>DESeq2: 2,912 down and 3,031 up. edgeR: 2,923 down and 3,508 up. The intersection is 5,442 and union 6,932; Jaccard = intersection/union = 0.785. The scatter uses unshrunk DESeq2 estimates for a fair effect-size comparison; shared DE genes are lapis blue. Pearson r = 0.884 and Spearman rho = 0.910 across all 17,819 shared finite estimates. Display axes are cropped to +/-8; correlations include every shared estimate.</w:t>
      </w:r>
    </w:p>
    <w:p>
      <w:pPr>
        <w:keepNext w:val="0"/>
        <w:spacing w:before="0" w:after="240" w:line="252" w:lineRule="auto"/>
        <w:jc w:val="left"/>
      </w:pPr>
      <w:r>
        <w:rPr>
          <w:rFonts w:ascii="Times New Roman" w:hAnsi="Times New Roman" w:eastAsia="Times New Roman" w:cs="Times New Roman"/>
          <w:b w:val="0"/>
          <w:i w:val="0"/>
          <w:color w:val="000000"/>
          <w:sz w:val="18"/>
        </w:rPr>
        <w:t>Both methods model overdispersed counts, but differ in normalization, dispersion moderation and inference. DESeq2 independently filters at alpha = 0.05, removing 2,764 genes after the shared low-count filter and leaving 15,055 finite adjusted p values. edgeR tests all 17,819 retained genes. Recalculating BH on their common finite-p universe gives 5,797 DESeq2 and 6,431 edgeR genes. Native output remains the primary result; the supplementary comparison separates test-universe effects from method effects.</w:t>
      </w:r>
    </w:p>
    <w:p>
      <w:pPr>
        <w:pStyle w:val="Heading1"/>
        <w:keepNext/>
        <w:pageBreakBefore/>
        <w:spacing w:before="220" w:after="100" w:line="252" w:lineRule="auto"/>
      </w:pPr>
      <w:r>
        <w:rPr>
          <w:rFonts w:ascii="Times New Roman" w:hAnsi="Times New Roman" w:eastAsia="Times New Roman" w:cs="Times New Roman"/>
          <w:b/>
          <w:i w:val="0"/>
          <w:color w:val="000000"/>
          <w:sz w:val="28"/>
        </w:rPr>
        <w:t>Appendix C P5 sensitivity and limits</w:t>
      </w:r>
    </w:p>
    <w:p>
      <w:pPr>
        <w:keepNext/>
        <w:spacing w:before="0" w:after="100" w:line="252" w:lineRule="auto"/>
        <w:jc w:val="both"/>
      </w:pPr>
      <w:r>
        <w:rPr>
          <w:rFonts w:ascii="Times New Roman" w:hAnsi="Times New Roman" w:eastAsia="Times New Roman" w:cs="Times New Roman"/>
          <w:b/>
          <w:i w:val="0"/>
          <w:color w:val="000000"/>
          <w:sz w:val="20"/>
        </w:rPr>
        <w:t>Table C1  Differential expression under alternative P5 choices</w:t>
      </w:r>
    </w:p>
    <w:tbl>
      <w:tblPr>
        <w:tblW w:type="auto" w:w="0"/>
        <w:tblLayout w:type="fixed"/>
        <w:tblLook w:firstColumn="1" w:firstRow="1" w:lastColumn="0" w:lastRow="0" w:noHBand="0" w:noVBand="1" w:val="04A0"/>
        <w:tblBorders>
          <w:top w:val="single" w:sz="4" w:color="000000"/>
          <w:bottom w:val="single" w:sz="4" w:color="000000"/>
          <w:insideH w:val="single" w:sz="4" w:color="000000"/>
          <w:insideV w:val="single" w:sz="4" w:color="000000"/>
          <w:left w:val="single" w:sz="4" w:color="000000"/>
          <w:right w:val="single" w:sz="4" w:color="000000"/>
        </w:tblBorders>
      </w:tblPr>
      <w:tblGrid>
        <w:gridCol w:w="3024"/>
        <w:gridCol w:w="1728"/>
        <w:gridCol w:w="1584"/>
        <w:gridCol w:w="1584"/>
        <w:gridCol w:w="1728"/>
      </w:tblGrid>
      <w:tr>
        <w:trPr>
          <w:cantSplit/>
          <w:tblHeader/>
        </w:trPr>
        <w:tc>
          <w:tcPr>
            <w:tcW w:type="dxa" w:w="3024"/>
            <w:shd w:fill="FFFFFF"/>
          </w:tcPr>
          <w:p>
            <w:pPr>
              <w:spacing w:before="0" w:after="60" w:line="252" w:lineRule="auto"/>
            </w:pPr>
            <w:r>
              <w:rPr>
                <w:rFonts w:ascii="Times New Roman" w:hAnsi="Times New Roman"/>
                <w:b/>
                <w:color w:val="000000"/>
                <w:sz w:val="18"/>
              </w:rPr>
              <w:t>P5 choice</w:t>
            </w:r>
          </w:p>
        </w:tc>
        <w:tc>
          <w:tcPr>
            <w:tcW w:type="dxa" w:w="1728"/>
            <w:shd w:fill="FFFFFF"/>
          </w:tcPr>
          <w:p>
            <w:pPr>
              <w:spacing w:before="0" w:after="60" w:line="252" w:lineRule="auto"/>
            </w:pPr>
            <w:r>
              <w:rPr>
                <w:rFonts w:ascii="Times New Roman" w:hAnsi="Times New Roman"/>
                <w:b/>
                <w:color w:val="000000"/>
                <w:sz w:val="18"/>
              </w:rPr>
              <w:t>Genes retained</w:t>
            </w:r>
          </w:p>
        </w:tc>
        <w:tc>
          <w:tcPr>
            <w:tcW w:type="dxa" w:w="1584"/>
            <w:shd w:fill="FFFFFF"/>
          </w:tcPr>
          <w:p>
            <w:pPr>
              <w:spacing w:before="0" w:after="60" w:line="252" w:lineRule="auto"/>
            </w:pPr>
            <w:r>
              <w:rPr>
                <w:rFonts w:ascii="Times New Roman" w:hAnsi="Times New Roman"/>
                <w:b/>
                <w:color w:val="000000"/>
                <w:sz w:val="18"/>
              </w:rPr>
              <w:t>DESeq2 DE</w:t>
            </w:r>
          </w:p>
        </w:tc>
        <w:tc>
          <w:tcPr>
            <w:tcW w:type="dxa" w:w="1584"/>
            <w:shd w:fill="FFFFFF"/>
          </w:tcPr>
          <w:p>
            <w:pPr>
              <w:spacing w:before="0" w:after="60" w:line="252" w:lineRule="auto"/>
            </w:pPr>
            <w:r>
              <w:rPr>
                <w:rFonts w:ascii="Times New Roman" w:hAnsi="Times New Roman"/>
                <w:b/>
                <w:color w:val="000000"/>
                <w:sz w:val="18"/>
              </w:rPr>
              <w:t>edgeR DE</w:t>
            </w:r>
          </w:p>
        </w:tc>
        <w:tc>
          <w:tcPr>
            <w:tcW w:type="dxa" w:w="1728"/>
            <w:shd w:fill="FFFFFF"/>
          </w:tcPr>
          <w:p>
            <w:pPr>
              <w:spacing w:before="0" w:after="60" w:line="252" w:lineRule="auto"/>
            </w:pPr>
            <w:r>
              <w:rPr>
                <w:rFonts w:ascii="Times New Roman" w:hAnsi="Times New Roman"/>
                <w:b/>
                <w:color w:val="000000"/>
                <w:sz w:val="18"/>
              </w:rPr>
              <w:t>Both methods</w:t>
            </w:r>
          </w:p>
        </w:tc>
      </w:tr>
      <w:tr>
        <w:trPr>
          <w:cantSplit/>
        </w:trPr>
        <w:tc>
          <w:tcPr>
            <w:tcW w:type="dxa" w:w="3024"/>
            <w:shd w:fill="FFFFFF"/>
          </w:tcPr>
          <w:p>
            <w:pPr>
              <w:spacing w:before="0" w:after="60" w:line="252" w:lineRule="auto"/>
            </w:pPr>
            <w:r>
              <w:rPr>
                <w:rFonts w:ascii="Times New Roman" w:hAnsi="Times New Roman"/>
                <w:color w:val="000000"/>
                <w:sz w:val="18"/>
              </w:rPr>
              <w:t>Sum both libraries</w:t>
            </w:r>
          </w:p>
        </w:tc>
        <w:tc>
          <w:tcPr>
            <w:tcW w:type="dxa" w:w="1728"/>
            <w:shd w:fill="FFFFFF"/>
          </w:tcPr>
          <w:p>
            <w:pPr>
              <w:spacing w:before="0" w:after="60" w:line="252" w:lineRule="auto"/>
            </w:pPr>
            <w:r>
              <w:rPr>
                <w:rFonts w:ascii="Times New Roman" w:hAnsi="Times New Roman"/>
                <w:color w:val="000000"/>
                <w:sz w:val="18"/>
              </w:rPr>
              <w:t>17,819</w:t>
            </w:r>
          </w:p>
        </w:tc>
        <w:tc>
          <w:tcPr>
            <w:tcW w:type="dxa" w:w="1584"/>
            <w:shd w:fill="FFFFFF"/>
          </w:tcPr>
          <w:p>
            <w:pPr>
              <w:spacing w:before="0" w:after="60" w:line="252" w:lineRule="auto"/>
            </w:pPr>
            <w:r>
              <w:rPr>
                <w:rFonts w:ascii="Times New Roman" w:hAnsi="Times New Roman"/>
                <w:color w:val="000000"/>
                <w:sz w:val="18"/>
              </w:rPr>
              <w:t>5,943</w:t>
            </w:r>
          </w:p>
        </w:tc>
        <w:tc>
          <w:tcPr>
            <w:tcW w:type="dxa" w:w="1584"/>
            <w:shd w:fill="FFFFFF"/>
          </w:tcPr>
          <w:p>
            <w:pPr>
              <w:spacing w:before="0" w:after="60" w:line="252" w:lineRule="auto"/>
            </w:pPr>
            <w:r>
              <w:rPr>
                <w:rFonts w:ascii="Times New Roman" w:hAnsi="Times New Roman"/>
                <w:color w:val="000000"/>
                <w:sz w:val="18"/>
              </w:rPr>
              <w:t>6,431</w:t>
            </w:r>
          </w:p>
        </w:tc>
        <w:tc>
          <w:tcPr>
            <w:tcW w:type="dxa" w:w="1728"/>
            <w:shd w:fill="FFFFFF"/>
          </w:tcPr>
          <w:p>
            <w:pPr>
              <w:spacing w:before="0" w:after="60" w:line="252" w:lineRule="auto"/>
            </w:pPr>
            <w:r>
              <w:rPr>
                <w:rFonts w:ascii="Times New Roman" w:hAnsi="Times New Roman"/>
                <w:color w:val="000000"/>
                <w:sz w:val="18"/>
              </w:rPr>
              <w:t>5,442</w:t>
            </w:r>
          </w:p>
        </w:tc>
      </w:tr>
      <w:tr>
        <w:trPr>
          <w:cantSplit/>
        </w:trPr>
        <w:tc>
          <w:tcPr>
            <w:tcW w:type="dxa" w:w="3024"/>
            <w:shd w:fill="FFFFFF"/>
          </w:tcPr>
          <w:p>
            <w:pPr>
              <w:spacing w:before="0" w:after="60" w:line="252" w:lineRule="auto"/>
            </w:pPr>
            <w:r>
              <w:rPr>
                <w:rFonts w:ascii="Times New Roman" w:hAnsi="Times New Roman"/>
                <w:color w:val="000000"/>
                <w:sz w:val="18"/>
              </w:rPr>
              <w:t>Retain SRR24828472</w:t>
            </w:r>
          </w:p>
        </w:tc>
        <w:tc>
          <w:tcPr>
            <w:tcW w:type="dxa" w:w="1728"/>
            <w:shd w:fill="FFFFFF"/>
          </w:tcPr>
          <w:p>
            <w:pPr>
              <w:spacing w:before="0" w:after="60" w:line="252" w:lineRule="auto"/>
            </w:pPr>
            <w:r>
              <w:rPr>
                <w:rFonts w:ascii="Times New Roman" w:hAnsi="Times New Roman"/>
                <w:color w:val="000000"/>
                <w:sz w:val="18"/>
              </w:rPr>
              <w:t>17,734</w:t>
            </w:r>
          </w:p>
        </w:tc>
        <w:tc>
          <w:tcPr>
            <w:tcW w:type="dxa" w:w="1584"/>
            <w:shd w:fill="FFFFFF"/>
          </w:tcPr>
          <w:p>
            <w:pPr>
              <w:spacing w:before="0" w:after="60" w:line="252" w:lineRule="auto"/>
            </w:pPr>
            <w:r>
              <w:rPr>
                <w:rFonts w:ascii="Times New Roman" w:hAnsi="Times New Roman"/>
                <w:color w:val="000000"/>
                <w:sz w:val="18"/>
              </w:rPr>
              <w:t>5,724</w:t>
            </w:r>
          </w:p>
        </w:tc>
        <w:tc>
          <w:tcPr>
            <w:tcW w:type="dxa" w:w="1584"/>
            <w:shd w:fill="FFFFFF"/>
          </w:tcPr>
          <w:p>
            <w:pPr>
              <w:spacing w:before="0" w:after="60" w:line="252" w:lineRule="auto"/>
            </w:pPr>
            <w:r>
              <w:rPr>
                <w:rFonts w:ascii="Times New Roman" w:hAnsi="Times New Roman"/>
                <w:color w:val="000000"/>
                <w:sz w:val="18"/>
              </w:rPr>
              <w:t>6,131</w:t>
            </w:r>
          </w:p>
        </w:tc>
        <w:tc>
          <w:tcPr>
            <w:tcW w:type="dxa" w:w="1728"/>
            <w:shd w:fill="FFFFFF"/>
          </w:tcPr>
          <w:p>
            <w:pPr>
              <w:spacing w:before="0" w:after="60" w:line="252" w:lineRule="auto"/>
            </w:pPr>
            <w:r>
              <w:rPr>
                <w:rFonts w:ascii="Times New Roman" w:hAnsi="Times New Roman"/>
                <w:color w:val="000000"/>
                <w:sz w:val="18"/>
              </w:rPr>
              <w:t>5,269</w:t>
            </w:r>
          </w:p>
        </w:tc>
      </w:tr>
      <w:tr>
        <w:trPr>
          <w:cantSplit/>
        </w:trPr>
        <w:tc>
          <w:tcPr>
            <w:tcW w:type="dxa" w:w="3024"/>
            <w:shd w:fill="FFFFFF"/>
          </w:tcPr>
          <w:p>
            <w:pPr>
              <w:spacing w:before="0" w:after="60" w:line="252" w:lineRule="auto"/>
            </w:pPr>
            <w:r>
              <w:rPr>
                <w:rFonts w:ascii="Times New Roman" w:hAnsi="Times New Roman"/>
                <w:color w:val="000000"/>
                <w:sz w:val="18"/>
              </w:rPr>
              <w:t>Retain SRR24828471</w:t>
            </w:r>
          </w:p>
        </w:tc>
        <w:tc>
          <w:tcPr>
            <w:tcW w:type="dxa" w:w="1728"/>
            <w:shd w:fill="FFFFFF"/>
          </w:tcPr>
          <w:p>
            <w:pPr>
              <w:spacing w:before="0" w:after="60" w:line="252" w:lineRule="auto"/>
            </w:pPr>
            <w:r>
              <w:rPr>
                <w:rFonts w:ascii="Times New Roman" w:hAnsi="Times New Roman"/>
                <w:color w:val="000000"/>
                <w:sz w:val="18"/>
              </w:rPr>
              <w:t>17,705</w:t>
            </w:r>
          </w:p>
        </w:tc>
        <w:tc>
          <w:tcPr>
            <w:tcW w:type="dxa" w:w="1584"/>
            <w:shd w:fill="FFFFFF"/>
          </w:tcPr>
          <w:p>
            <w:pPr>
              <w:spacing w:before="0" w:after="60" w:line="252" w:lineRule="auto"/>
            </w:pPr>
            <w:r>
              <w:rPr>
                <w:rFonts w:ascii="Times New Roman" w:hAnsi="Times New Roman"/>
                <w:color w:val="000000"/>
                <w:sz w:val="18"/>
              </w:rPr>
              <w:t>6,004</w:t>
            </w:r>
          </w:p>
        </w:tc>
        <w:tc>
          <w:tcPr>
            <w:tcW w:type="dxa" w:w="1584"/>
            <w:shd w:fill="FFFFFF"/>
          </w:tcPr>
          <w:p>
            <w:pPr>
              <w:spacing w:before="0" w:after="60" w:line="252" w:lineRule="auto"/>
            </w:pPr>
            <w:r>
              <w:rPr>
                <w:rFonts w:ascii="Times New Roman" w:hAnsi="Times New Roman"/>
                <w:color w:val="000000"/>
                <w:sz w:val="18"/>
              </w:rPr>
              <w:t>6,535</w:t>
            </w:r>
          </w:p>
        </w:tc>
        <w:tc>
          <w:tcPr>
            <w:tcW w:type="dxa" w:w="1728"/>
            <w:shd w:fill="FFFFFF"/>
          </w:tcPr>
          <w:p>
            <w:pPr>
              <w:spacing w:before="0" w:after="60" w:line="252" w:lineRule="auto"/>
            </w:pPr>
            <w:r>
              <w:rPr>
                <w:rFonts w:ascii="Times New Roman" w:hAnsi="Times New Roman"/>
                <w:color w:val="000000"/>
                <w:sz w:val="18"/>
              </w:rPr>
              <w:t>5,568</w:t>
            </w:r>
          </w:p>
        </w:tc>
      </w:tr>
    </w:tbl>
    <w:p>
      <w:pPr>
        <w:keepNext w:val="0"/>
        <w:spacing w:before="0" w:after="60" w:line="252" w:lineRule="auto"/>
        <w:jc w:val="left"/>
      </w:pPr>
      <w:r>
        <w:rPr>
          <w:rFonts w:ascii="Times New Roman" w:hAnsi="Times New Roman" w:eastAsia="Times New Roman" w:cs="Times New Roman"/>
          <w:b w:val="0"/>
          <w:i w:val="0"/>
          <w:color w:val="000000"/>
          <w:sz w:val="18"/>
        </w:rPr>
      </w:r>
    </w:p>
    <w:p>
      <w:pPr>
        <w:keepNext w:val="0"/>
        <w:spacing w:before="0" w:after="240" w:line="252" w:lineRule="auto"/>
        <w:jc w:val="left"/>
      </w:pPr>
      <w:r>
        <w:rPr>
          <w:rFonts w:ascii="Times New Roman" w:hAnsi="Times New Roman" w:eastAsia="Times New Roman" w:cs="Times New Roman"/>
          <w:b w:val="0"/>
          <w:i w:val="0"/>
          <w:color w:val="000000"/>
          <w:sz w:val="18"/>
        </w:rPr>
        <w:t>The two public runs have distinct sample accessions and FASTQ MD5 values. Their all-gene logCPM correlation is 0.993, but neither file identity nor correlation establishes technical or biological replication. Summing them is a tutorial assumption, not a resolved experimental fact. The alternative analyses preserve the original 17-run inputs.</w:t>
      </w:r>
    </w:p>
    <w:p>
      <w:pPr>
        <w:keepNext/>
        <w:spacing w:before="0" w:after="120" w:line="252" w:lineRule="auto"/>
        <w:jc w:val="center"/>
      </w:pPr>
      <w:r>
        <w:rPr>
          <w:rFonts w:ascii="Times New Roman" w:hAnsi="Times New Roman" w:eastAsia="Times New Roman" w:cs="Times New Roman"/>
          <w:b w:val="0"/>
          <w:i w:val="0"/>
          <w:color w:val="000000"/>
          <w:sz w:val="21"/>
        </w:rPr>
      </w:r>
      <w:r>
        <w:drawing>
          <wp:inline xmlns:a="http://schemas.openxmlformats.org/drawingml/2006/main" xmlns:pic="http://schemas.openxmlformats.org/drawingml/2006/picture">
            <wp:extent cx="6144768" cy="2417671"/>
            <wp:docPr id="5" name="Picture 5"/>
            <wp:cNvGraphicFramePr>
              <a:graphicFrameLocks noChangeAspect="1"/>
            </wp:cNvGraphicFramePr>
            <a:graphic>
              <a:graphicData uri="http://schemas.openxmlformats.org/drawingml/2006/picture">
                <pic:pic>
                  <pic:nvPicPr>
                    <pic:cNvPr id="0" name="C1_P5_sensitivity.png"/>
                    <pic:cNvPicPr/>
                  </pic:nvPicPr>
                  <pic:blipFill>
                    <a:blip r:embed="rId18"/>
                    <a:stretch>
                      <a:fillRect/>
                    </a:stretch>
                  </pic:blipFill>
                  <pic:spPr>
                    <a:xfrm>
                      <a:off x="0" y="0"/>
                      <a:ext cx="6144768" cy="2417671"/>
                    </a:xfrm>
                    <a:prstGeom prst="rect"/>
                  </pic:spPr>
                </pic:pic>
              </a:graphicData>
            </a:graphic>
          </wp:inline>
        </w:drawing>
      </w:r>
    </w:p>
    <w:p>
      <w:pPr>
        <w:keepNext/>
        <w:spacing w:before="0" w:after="100" w:line="252" w:lineRule="auto"/>
        <w:jc w:val="both"/>
      </w:pPr>
      <w:r>
        <w:rPr>
          <w:rFonts w:ascii="Times New Roman" w:hAnsi="Times New Roman" w:eastAsia="Times New Roman" w:cs="Times New Roman"/>
          <w:b/>
          <w:i w:val="0"/>
          <w:color w:val="000000"/>
          <w:sz w:val="20"/>
        </w:rPr>
        <w:t>Figure C1  Effect-size sensitivity to P5 handling</w:t>
      </w:r>
    </w:p>
    <w:p>
      <w:pPr>
        <w:keepNext w:val="0"/>
        <w:spacing w:before="0" w:after="240" w:line="252" w:lineRule="auto"/>
        <w:jc w:val="left"/>
      </w:pPr>
      <w:r>
        <w:rPr>
          <w:rFonts w:ascii="Times New Roman" w:hAnsi="Times New Roman" w:eastAsia="Times New Roman" w:cs="Times New Roman"/>
          <w:b w:val="0"/>
          <w:i w:val="0"/>
          <w:color w:val="000000"/>
          <w:sz w:val="18"/>
        </w:rPr>
        <w:t>For merge versus retaining SRR24828472/SRR24828471, DESeq2 DE-list Jaccard values are 0.936/0.945; edgeR values are 0.932/0.920. Unshrunk log2FC correlations range from 0.992 to 0.996. Axes are cropped to +/-6; correlations use all finite paired estimates. Genes at the significance boundary can still change despite high global agreement.</w:t>
      </w:r>
    </w:p>
    <w:p>
      <w:pPr>
        <w:keepNext/>
        <w:spacing w:before="0" w:after="100" w:line="252" w:lineRule="auto"/>
        <w:jc w:val="both"/>
      </w:pPr>
      <w:r>
        <w:rPr>
          <w:rFonts w:ascii="Times New Roman" w:hAnsi="Times New Roman" w:eastAsia="Times New Roman" w:cs="Times New Roman"/>
          <w:b/>
          <w:i w:val="0"/>
          <w:color w:val="000000"/>
          <w:sz w:val="20"/>
        </w:rPr>
        <w:t>Table C2  Examples requiring cautious interpretation</w:t>
      </w:r>
    </w:p>
    <w:tbl>
      <w:tblPr>
        <w:tblW w:type="auto" w:w="0"/>
        <w:tblLayout w:type="fixed"/>
        <w:tblLook w:firstColumn="1" w:firstRow="1" w:lastColumn="0" w:lastRow="0" w:noHBand="0" w:noVBand="1" w:val="04A0"/>
        <w:tblBorders>
          <w:top w:val="single" w:sz="4" w:color="000000"/>
          <w:bottom w:val="single" w:sz="4" w:color="000000"/>
          <w:insideH w:val="single" w:sz="4" w:color="000000"/>
          <w:insideV w:val="single" w:sz="4" w:color="000000"/>
          <w:left w:val="single" w:sz="4" w:color="000000"/>
          <w:right w:val="single" w:sz="4" w:color="000000"/>
        </w:tblBorders>
      </w:tblPr>
      <w:tblGrid>
        <w:gridCol w:w="1152"/>
        <w:gridCol w:w="2160"/>
        <w:gridCol w:w="2160"/>
        <w:gridCol w:w="2160"/>
        <w:gridCol w:w="2016"/>
      </w:tblGrid>
      <w:tr>
        <w:trPr>
          <w:cantSplit/>
          <w:tblHeader/>
        </w:trPr>
        <w:tc>
          <w:tcPr>
            <w:tcW w:type="dxa" w:w="1152"/>
            <w:shd w:fill="FFFFFF"/>
          </w:tcPr>
          <w:p>
            <w:pPr>
              <w:spacing w:before="0" w:after="60" w:line="252" w:lineRule="auto"/>
            </w:pPr>
            <w:r>
              <w:rPr>
                <w:rFonts w:ascii="Times New Roman" w:hAnsi="Times New Roman"/>
                <w:b/>
                <w:color w:val="000000"/>
                <w:sz w:val="18"/>
              </w:rPr>
              <w:t>Gene</w:t>
            </w:r>
          </w:p>
        </w:tc>
        <w:tc>
          <w:tcPr>
            <w:tcW w:type="dxa" w:w="2160"/>
            <w:shd w:fill="FFFFFF"/>
          </w:tcPr>
          <w:p>
            <w:pPr>
              <w:spacing w:before="0" w:after="60" w:line="252" w:lineRule="auto"/>
            </w:pPr>
            <w:r>
              <w:rPr>
                <w:rFonts w:ascii="Times New Roman" w:hAnsi="Times New Roman"/>
                <w:b/>
                <w:color w:val="000000"/>
                <w:sz w:val="18"/>
              </w:rPr>
              <w:t>DESeq2 FDR, sum</w:t>
            </w:r>
          </w:p>
        </w:tc>
        <w:tc>
          <w:tcPr>
            <w:tcW w:type="dxa" w:w="2160"/>
            <w:shd w:fill="FFFFFF"/>
          </w:tcPr>
          <w:p>
            <w:pPr>
              <w:spacing w:before="0" w:after="60" w:line="252" w:lineRule="auto"/>
            </w:pPr>
            <w:r>
              <w:rPr>
                <w:rFonts w:ascii="Times New Roman" w:hAnsi="Times New Roman"/>
                <w:b/>
                <w:color w:val="000000"/>
                <w:sz w:val="18"/>
              </w:rPr>
              <w:t>edgeR FDR, sum</w:t>
            </w:r>
          </w:p>
        </w:tc>
        <w:tc>
          <w:tcPr>
            <w:tcW w:type="dxa" w:w="2160"/>
            <w:shd w:fill="FFFFFF"/>
          </w:tcPr>
          <w:p>
            <w:pPr>
              <w:spacing w:before="0" w:after="60" w:line="252" w:lineRule="auto"/>
            </w:pPr>
            <w:r>
              <w:rPr>
                <w:rFonts w:ascii="Times New Roman" w:hAnsi="Times New Roman"/>
                <w:b/>
                <w:color w:val="000000"/>
                <w:sz w:val="18"/>
              </w:rPr>
              <w:t>edgeR FDR, 472</w:t>
            </w:r>
          </w:p>
        </w:tc>
        <w:tc>
          <w:tcPr>
            <w:tcW w:type="dxa" w:w="2016"/>
            <w:shd w:fill="FFFFFF"/>
          </w:tcPr>
          <w:p>
            <w:pPr>
              <w:spacing w:before="0" w:after="60" w:line="252" w:lineRule="auto"/>
            </w:pPr>
            <w:r>
              <w:rPr>
                <w:rFonts w:ascii="Times New Roman" w:hAnsi="Times New Roman"/>
                <w:b/>
                <w:color w:val="000000"/>
                <w:sz w:val="18"/>
              </w:rPr>
              <w:t>edgeR FDR, 471</w:t>
            </w:r>
          </w:p>
        </w:tc>
      </w:tr>
      <w:tr>
        <w:trPr>
          <w:cantSplit/>
        </w:trPr>
        <w:tc>
          <w:tcPr>
            <w:tcW w:type="dxa" w:w="1152"/>
            <w:shd w:fill="FFFFFF"/>
          </w:tcPr>
          <w:p>
            <w:pPr>
              <w:spacing w:before="0" w:after="60" w:line="252" w:lineRule="auto"/>
            </w:pPr>
            <w:r>
              <w:rPr>
                <w:rFonts w:ascii="Times New Roman" w:hAnsi="Times New Roman"/>
                <w:color w:val="000000"/>
                <w:sz w:val="18"/>
              </w:rPr>
              <w:t>DPM3</w:t>
            </w:r>
          </w:p>
        </w:tc>
        <w:tc>
          <w:tcPr>
            <w:tcW w:type="dxa" w:w="2160"/>
            <w:shd w:fill="FFFFFF"/>
          </w:tcPr>
          <w:p>
            <w:pPr>
              <w:spacing w:before="0" w:after="60" w:line="252" w:lineRule="auto"/>
            </w:pPr>
            <w:r>
              <w:rPr>
                <w:rFonts w:ascii="Times New Roman" w:hAnsi="Times New Roman"/>
                <w:color w:val="000000"/>
                <w:sz w:val="18"/>
              </w:rPr>
              <w:t>6.8e-06</w:t>
            </w:r>
          </w:p>
        </w:tc>
        <w:tc>
          <w:tcPr>
            <w:tcW w:type="dxa" w:w="2160"/>
            <w:shd w:fill="FFFFFF"/>
          </w:tcPr>
          <w:p>
            <w:pPr>
              <w:spacing w:before="0" w:after="60" w:line="252" w:lineRule="auto"/>
            </w:pPr>
            <w:r>
              <w:rPr>
                <w:rFonts w:ascii="Times New Roman" w:hAnsi="Times New Roman"/>
                <w:color w:val="000000"/>
                <w:sz w:val="18"/>
              </w:rPr>
              <w:t>0.0013</w:t>
            </w:r>
          </w:p>
        </w:tc>
        <w:tc>
          <w:tcPr>
            <w:tcW w:type="dxa" w:w="2160"/>
            <w:shd w:fill="FFFFFF"/>
          </w:tcPr>
          <w:p>
            <w:pPr>
              <w:spacing w:before="0" w:after="60" w:line="252" w:lineRule="auto"/>
            </w:pPr>
            <w:r>
              <w:rPr>
                <w:rFonts w:ascii="Times New Roman" w:hAnsi="Times New Roman"/>
                <w:color w:val="000000"/>
                <w:sz w:val="18"/>
              </w:rPr>
              <w:t>0.3</w:t>
            </w:r>
          </w:p>
        </w:tc>
        <w:tc>
          <w:tcPr>
            <w:tcW w:type="dxa" w:w="2016"/>
            <w:shd w:fill="FFFFFF"/>
          </w:tcPr>
          <w:p>
            <w:pPr>
              <w:spacing w:before="0" w:after="60" w:line="252" w:lineRule="auto"/>
            </w:pPr>
            <w:r>
              <w:rPr>
                <w:rFonts w:ascii="Times New Roman" w:hAnsi="Times New Roman"/>
                <w:color w:val="000000"/>
                <w:sz w:val="18"/>
              </w:rPr>
              <w:t>0.00017</w:t>
            </w:r>
          </w:p>
        </w:tc>
      </w:tr>
      <w:tr>
        <w:trPr>
          <w:cantSplit/>
        </w:trPr>
        <w:tc>
          <w:tcPr>
            <w:tcW w:type="dxa" w:w="1152"/>
            <w:shd w:fill="FFFFFF"/>
          </w:tcPr>
          <w:p>
            <w:pPr>
              <w:spacing w:before="0" w:after="60" w:line="252" w:lineRule="auto"/>
            </w:pPr>
            <w:r>
              <w:rPr>
                <w:rFonts w:ascii="Times New Roman" w:hAnsi="Times New Roman"/>
                <w:color w:val="000000"/>
                <w:sz w:val="18"/>
              </w:rPr>
              <w:t>EGR1</w:t>
            </w:r>
          </w:p>
        </w:tc>
        <w:tc>
          <w:tcPr>
            <w:tcW w:type="dxa" w:w="2160"/>
            <w:shd w:fill="FFFFFF"/>
          </w:tcPr>
          <w:p>
            <w:pPr>
              <w:spacing w:before="0" w:after="60" w:line="252" w:lineRule="auto"/>
            </w:pPr>
            <w:r>
              <w:rPr>
                <w:rFonts w:ascii="Times New Roman" w:hAnsi="Times New Roman"/>
                <w:color w:val="000000"/>
                <w:sz w:val="18"/>
              </w:rPr>
              <w:t>0.029</w:t>
            </w:r>
          </w:p>
        </w:tc>
        <w:tc>
          <w:tcPr>
            <w:tcW w:type="dxa" w:w="2160"/>
            <w:shd w:fill="FFFFFF"/>
          </w:tcPr>
          <w:p>
            <w:pPr>
              <w:spacing w:before="0" w:after="60" w:line="252" w:lineRule="auto"/>
            </w:pPr>
            <w:r>
              <w:rPr>
                <w:rFonts w:ascii="Times New Roman" w:hAnsi="Times New Roman"/>
                <w:color w:val="000000"/>
                <w:sz w:val="18"/>
              </w:rPr>
              <w:t>0.069</w:t>
            </w:r>
          </w:p>
        </w:tc>
        <w:tc>
          <w:tcPr>
            <w:tcW w:type="dxa" w:w="2160"/>
            <w:shd w:fill="FFFFFF"/>
          </w:tcPr>
          <w:p>
            <w:pPr>
              <w:spacing w:before="0" w:after="60" w:line="252" w:lineRule="auto"/>
            </w:pPr>
            <w:r>
              <w:rPr>
                <w:rFonts w:ascii="Times New Roman" w:hAnsi="Times New Roman"/>
                <w:color w:val="000000"/>
                <w:sz w:val="18"/>
              </w:rPr>
              <w:t>0.066</w:t>
            </w:r>
          </w:p>
        </w:tc>
        <w:tc>
          <w:tcPr>
            <w:tcW w:type="dxa" w:w="2016"/>
            <w:shd w:fill="FFFFFF"/>
          </w:tcPr>
          <w:p>
            <w:pPr>
              <w:spacing w:before="0" w:after="60" w:line="252" w:lineRule="auto"/>
            </w:pPr>
            <w:r>
              <w:rPr>
                <w:rFonts w:ascii="Times New Roman" w:hAnsi="Times New Roman"/>
                <w:color w:val="000000"/>
                <w:sz w:val="18"/>
              </w:rPr>
              <w:t>0.063</w:t>
            </w:r>
          </w:p>
        </w:tc>
      </w:tr>
      <w:tr>
        <w:trPr>
          <w:cantSplit/>
        </w:trPr>
        <w:tc>
          <w:tcPr>
            <w:tcW w:type="dxa" w:w="1152"/>
            <w:shd w:fill="FFFFFF"/>
          </w:tcPr>
          <w:p>
            <w:pPr>
              <w:spacing w:before="0" w:after="60" w:line="252" w:lineRule="auto"/>
            </w:pPr>
            <w:r>
              <w:rPr>
                <w:rFonts w:ascii="Times New Roman" w:hAnsi="Times New Roman"/>
                <w:color w:val="000000"/>
                <w:sz w:val="18"/>
              </w:rPr>
              <w:t>TGFBR3</w:t>
            </w:r>
          </w:p>
        </w:tc>
        <w:tc>
          <w:tcPr>
            <w:tcW w:type="dxa" w:w="2160"/>
            <w:shd w:fill="FFFFFF"/>
          </w:tcPr>
          <w:p>
            <w:pPr>
              <w:spacing w:before="0" w:after="60" w:line="252" w:lineRule="auto"/>
            </w:pPr>
            <w:r>
              <w:rPr>
                <w:rFonts w:ascii="Times New Roman" w:hAnsi="Times New Roman"/>
                <w:color w:val="000000"/>
                <w:sz w:val="18"/>
              </w:rPr>
              <w:t>0.16</w:t>
            </w:r>
          </w:p>
        </w:tc>
        <w:tc>
          <w:tcPr>
            <w:tcW w:type="dxa" w:w="2160"/>
            <w:shd w:fill="FFFFFF"/>
          </w:tcPr>
          <w:p>
            <w:pPr>
              <w:spacing w:before="0" w:after="60" w:line="252" w:lineRule="auto"/>
            </w:pPr>
            <w:r>
              <w:rPr>
                <w:rFonts w:ascii="Times New Roman" w:hAnsi="Times New Roman"/>
                <w:color w:val="000000"/>
                <w:sz w:val="18"/>
              </w:rPr>
              <w:t>0.1</w:t>
            </w:r>
          </w:p>
        </w:tc>
        <w:tc>
          <w:tcPr>
            <w:tcW w:type="dxa" w:w="2160"/>
            <w:shd w:fill="FFFFFF"/>
          </w:tcPr>
          <w:p>
            <w:pPr>
              <w:spacing w:before="0" w:after="60" w:line="252" w:lineRule="auto"/>
            </w:pPr>
            <w:r>
              <w:rPr>
                <w:rFonts w:ascii="Times New Roman" w:hAnsi="Times New Roman"/>
                <w:color w:val="000000"/>
                <w:sz w:val="18"/>
              </w:rPr>
              <w:t>0.11</w:t>
            </w:r>
          </w:p>
        </w:tc>
        <w:tc>
          <w:tcPr>
            <w:tcW w:type="dxa" w:w="2016"/>
            <w:shd w:fill="FFFFFF"/>
          </w:tcPr>
          <w:p>
            <w:pPr>
              <w:spacing w:before="0" w:after="60" w:line="252" w:lineRule="auto"/>
            </w:pPr>
            <w:r>
              <w:rPr>
                <w:rFonts w:ascii="Times New Roman" w:hAnsi="Times New Roman"/>
                <w:color w:val="000000"/>
                <w:sz w:val="18"/>
              </w:rPr>
              <w:t>0.098</w:t>
            </w:r>
          </w:p>
        </w:tc>
      </w:tr>
    </w:tbl>
    <w:p>
      <w:pPr>
        <w:keepNext w:val="0"/>
        <w:spacing w:before="0" w:after="60" w:line="252" w:lineRule="auto"/>
        <w:jc w:val="left"/>
      </w:pPr>
      <w:r>
        <w:rPr>
          <w:rFonts w:ascii="Times New Roman" w:hAnsi="Times New Roman" w:eastAsia="Times New Roman" w:cs="Times New Roman"/>
          <w:b w:val="0"/>
          <w:i w:val="0"/>
          <w:color w:val="000000"/>
          <w:sz w:val="18"/>
        </w:rPr>
      </w:r>
    </w:p>
    <w:p>
      <w:pPr>
        <w:keepNext w:val="0"/>
        <w:spacing w:before="0" w:after="240" w:line="252" w:lineRule="auto"/>
        <w:jc w:val="left"/>
      </w:pPr>
      <w:r>
        <w:rPr>
          <w:rFonts w:ascii="Times New Roman" w:hAnsi="Times New Roman" w:eastAsia="Times New Roman" w:cs="Times New Roman"/>
          <w:b w:val="0"/>
          <w:i w:val="0"/>
          <w:color w:val="000000"/>
          <w:sz w:val="18"/>
        </w:rPr>
        <w:t>DPM3 loses edgeR significance when only SRR24828472 is used. EGR1 is significant in the main DESeq2 result but not edgeR; TGFBR3 is not significant in either main result. The additive model estimates a common treatment effect across lines and does not estimate a treatment-by-cell-line interaction. Eight paired cell lines do not establish within-line biological replication, and sensitivity to P5 cannot resolve that limitation.</w:t>
      </w:r>
    </w:p>
    <w:p>
      <w:pPr>
        <w:pStyle w:val="Heading1"/>
        <w:keepNext/>
        <w:pageBreakBefore/>
        <w:spacing w:before="220" w:after="100" w:line="252" w:lineRule="auto"/>
      </w:pPr>
      <w:r>
        <w:rPr>
          <w:rFonts w:ascii="Times New Roman" w:hAnsi="Times New Roman" w:eastAsia="Times New Roman" w:cs="Times New Roman"/>
          <w:b/>
          <w:i w:val="0"/>
          <w:color w:val="000000"/>
          <w:sz w:val="28"/>
        </w:rPr>
        <w:t>Appendix D Benchmark against the original paper</w:t>
      </w:r>
    </w:p>
    <w:p>
      <w:pPr>
        <w:keepNext/>
        <w:spacing w:before="0" w:after="120" w:line="252" w:lineRule="auto"/>
        <w:jc w:val="center"/>
      </w:pPr>
      <w:r>
        <w:rPr>
          <w:rFonts w:ascii="Times New Roman" w:hAnsi="Times New Roman" w:eastAsia="Times New Roman" w:cs="Times New Roman"/>
          <w:b w:val="0"/>
          <w:i w:val="0"/>
          <w:color w:val="000000"/>
          <w:sz w:val="21"/>
        </w:rPr>
      </w:r>
      <w:r>
        <w:drawing>
          <wp:inline xmlns:a="http://schemas.openxmlformats.org/drawingml/2006/main" xmlns:pic="http://schemas.openxmlformats.org/drawingml/2006/picture">
            <wp:extent cx="6144768" cy="2572967"/>
            <wp:docPr id="6" name="Picture 6"/>
            <wp:cNvGraphicFramePr>
              <a:graphicFrameLocks noChangeAspect="1"/>
            </wp:cNvGraphicFramePr>
            <a:graphic>
              <a:graphicData uri="http://schemas.openxmlformats.org/drawingml/2006/picture">
                <pic:pic>
                  <pic:nvPicPr>
                    <pic:cNvPr id="0" name="D1_paper_benchmark.png"/>
                    <pic:cNvPicPr/>
                  </pic:nvPicPr>
                  <pic:blipFill>
                    <a:blip r:embed="rId19"/>
                    <a:stretch>
                      <a:fillRect/>
                    </a:stretch>
                  </pic:blipFill>
                  <pic:spPr>
                    <a:xfrm>
                      <a:off x="0" y="0"/>
                      <a:ext cx="6144768" cy="2572967"/>
                    </a:xfrm>
                    <a:prstGeom prst="rect"/>
                  </pic:spPr>
                </pic:pic>
              </a:graphicData>
            </a:graphic>
          </wp:inline>
        </w:drawing>
      </w:r>
    </w:p>
    <w:p>
      <w:pPr>
        <w:keepNext/>
        <w:spacing w:before="0" w:after="100" w:line="252" w:lineRule="auto"/>
        <w:jc w:val="both"/>
      </w:pPr>
      <w:r>
        <w:rPr>
          <w:rFonts w:ascii="Times New Roman" w:hAnsi="Times New Roman" w:eastAsia="Times New Roman" w:cs="Times New Roman"/>
          <w:b/>
          <w:i w:val="0"/>
          <w:color w:val="000000"/>
          <w:sz w:val="20"/>
        </w:rPr>
        <w:t>Figure D1  Local estimates versus paper edgeR estimates</w:t>
      </w:r>
    </w:p>
    <w:p>
      <w:pPr>
        <w:keepNext w:val="0"/>
        <w:spacing w:before="0" w:after="240" w:line="252" w:lineRule="auto"/>
        <w:jc w:val="left"/>
      </w:pPr>
      <w:r>
        <w:rPr>
          <w:rFonts w:ascii="Times New Roman" w:hAnsi="Times New Roman" w:eastAsia="Times New Roman" w:cs="Times New Roman"/>
          <w:b w:val="0"/>
          <w:i w:val="0"/>
          <w:color w:val="000000"/>
          <w:sz w:val="18"/>
        </w:rPr>
        <w:t>The supplied Data S1 CSV contains 14,799 Ensembl rows. Conservative mapping excludes 224 missing/nonnumeric Entrez IDs and 38 rows with ambiguous numeric-ID mappings, yielding 14,537 unique numeric Entrez IDs. Of these, 14,200 have finite estimates in both local methods. All correlations use this common universe, not a significance-selected subset. Axes are cropped to +/-6. Data S1 compares KRAS to nonspecific siRNA, matching the local contrast direction.</w:t>
      </w:r>
      <w:r>
        <w:rPr>
          <w:rFonts w:ascii="Times New Roman" w:hAnsi="Times New Roman"/>
          <w:sz w:val="16"/>
          <w:vertAlign w:val="superscript"/>
        </w:rPr>
        <w:t>1</w:t>
      </w:r>
    </w:p>
    <w:p>
      <w:pPr>
        <w:keepNext/>
        <w:spacing w:before="0" w:after="100" w:line="252" w:lineRule="auto"/>
        <w:jc w:val="both"/>
      </w:pPr>
      <w:r>
        <w:rPr>
          <w:rFonts w:ascii="Times New Roman" w:hAnsi="Times New Roman" w:eastAsia="Times New Roman" w:cs="Times New Roman"/>
          <w:b/>
          <w:i w:val="0"/>
          <w:color w:val="000000"/>
          <w:sz w:val="20"/>
        </w:rPr>
        <w:t>Table D1  DE-list agreement on the 14,200-gene common universe</w:t>
      </w:r>
    </w:p>
    <w:tbl>
      <w:tblPr>
        <w:tblW w:type="auto" w:w="0"/>
        <w:tblLayout w:type="fixed"/>
        <w:tblLook w:firstColumn="1" w:firstRow="1" w:lastColumn="0" w:lastRow="0" w:noHBand="0" w:noVBand="1" w:val="04A0"/>
        <w:tblBorders>
          <w:top w:val="single" w:sz="4" w:color="000000"/>
          <w:bottom w:val="single" w:sz="4" w:color="000000"/>
          <w:insideH w:val="single" w:sz="4" w:color="000000"/>
          <w:insideV w:val="single" w:sz="4" w:color="000000"/>
          <w:left w:val="single" w:sz="4" w:color="000000"/>
          <w:right w:val="single" w:sz="4" w:color="000000"/>
        </w:tblBorders>
      </w:tblPr>
      <w:tblGrid>
        <w:gridCol w:w="1512"/>
        <w:gridCol w:w="2952"/>
        <w:gridCol w:w="1296"/>
        <w:gridCol w:w="1296"/>
        <w:gridCol w:w="1296"/>
        <w:gridCol w:w="1224"/>
      </w:tblGrid>
      <w:tr>
        <w:trPr>
          <w:cantSplit/>
          <w:tblHeader/>
        </w:trPr>
        <w:tc>
          <w:tcPr>
            <w:tcW w:type="dxa" w:w="1512"/>
            <w:shd w:fill="FFFFFF"/>
          </w:tcPr>
          <w:p>
            <w:pPr>
              <w:spacing w:before="0" w:after="60" w:line="252" w:lineRule="auto"/>
            </w:pPr>
            <w:r>
              <w:rPr>
                <w:rFonts w:ascii="Times New Roman" w:hAnsi="Times New Roman"/>
                <w:b/>
                <w:color w:val="000000"/>
                <w:sz w:val="18"/>
              </w:rPr>
              <w:t>Local method</w:t>
            </w:r>
          </w:p>
        </w:tc>
        <w:tc>
          <w:tcPr>
            <w:tcW w:type="dxa" w:w="2952"/>
            <w:shd w:fill="FFFFFF"/>
          </w:tcPr>
          <w:p>
            <w:pPr>
              <w:spacing w:before="0" w:after="60" w:line="252" w:lineRule="auto"/>
            </w:pPr>
            <w:r>
              <w:rPr>
                <w:rFonts w:ascii="Times New Roman" w:hAnsi="Times New Roman"/>
                <w:b/>
                <w:color w:val="000000"/>
                <w:sz w:val="18"/>
              </w:rPr>
              <w:t>Selection rule</w:t>
            </w:r>
          </w:p>
        </w:tc>
        <w:tc>
          <w:tcPr>
            <w:tcW w:type="dxa" w:w="1296"/>
            <w:shd w:fill="FFFFFF"/>
          </w:tcPr>
          <w:p>
            <w:pPr>
              <w:spacing w:before="0" w:after="60" w:line="252" w:lineRule="auto"/>
            </w:pPr>
            <w:r>
              <w:rPr>
                <w:rFonts w:ascii="Times New Roman" w:hAnsi="Times New Roman"/>
                <w:b/>
                <w:color w:val="000000"/>
                <w:sz w:val="18"/>
              </w:rPr>
              <w:t>Local DE</w:t>
            </w:r>
          </w:p>
        </w:tc>
        <w:tc>
          <w:tcPr>
            <w:tcW w:type="dxa" w:w="1296"/>
            <w:shd w:fill="FFFFFF"/>
          </w:tcPr>
          <w:p>
            <w:pPr>
              <w:spacing w:before="0" w:after="60" w:line="252" w:lineRule="auto"/>
            </w:pPr>
            <w:r>
              <w:rPr>
                <w:rFonts w:ascii="Times New Roman" w:hAnsi="Times New Roman"/>
                <w:b/>
                <w:color w:val="000000"/>
                <w:sz w:val="18"/>
              </w:rPr>
              <w:t>Paper DE</w:t>
            </w:r>
          </w:p>
        </w:tc>
        <w:tc>
          <w:tcPr>
            <w:tcW w:type="dxa" w:w="1296"/>
            <w:shd w:fill="FFFFFF"/>
          </w:tcPr>
          <w:p>
            <w:pPr>
              <w:spacing w:before="0" w:after="60" w:line="252" w:lineRule="auto"/>
            </w:pPr>
            <w:r>
              <w:rPr>
                <w:rFonts w:ascii="Times New Roman" w:hAnsi="Times New Roman"/>
                <w:b/>
                <w:color w:val="000000"/>
                <w:sz w:val="18"/>
              </w:rPr>
              <w:t>Overlap</w:t>
            </w:r>
          </w:p>
        </w:tc>
        <w:tc>
          <w:tcPr>
            <w:tcW w:type="dxa" w:w="1224"/>
            <w:shd w:fill="FFFFFF"/>
          </w:tcPr>
          <w:p>
            <w:pPr>
              <w:spacing w:before="0" w:after="60" w:line="252" w:lineRule="auto"/>
            </w:pPr>
            <w:r>
              <w:rPr>
                <w:rFonts w:ascii="Times New Roman" w:hAnsi="Times New Roman"/>
                <w:b/>
                <w:color w:val="000000"/>
                <w:sz w:val="18"/>
              </w:rPr>
              <w:t>Jaccard</w:t>
            </w:r>
          </w:p>
        </w:tc>
      </w:tr>
      <w:tr>
        <w:trPr>
          <w:cantSplit/>
        </w:trPr>
        <w:tc>
          <w:tcPr>
            <w:tcW w:type="dxa" w:w="1512"/>
            <w:shd w:fill="FFFFFF"/>
          </w:tcPr>
          <w:p>
            <w:pPr>
              <w:spacing w:before="0" w:after="60" w:line="252" w:lineRule="auto"/>
            </w:pPr>
            <w:r>
              <w:rPr>
                <w:rFonts w:ascii="Times New Roman" w:hAnsi="Times New Roman"/>
                <w:color w:val="000000"/>
                <w:sz w:val="18"/>
              </w:rPr>
              <w:t>edgeR</w:t>
            </w:r>
          </w:p>
        </w:tc>
        <w:tc>
          <w:tcPr>
            <w:tcW w:type="dxa" w:w="2952"/>
            <w:shd w:fill="FFFFFF"/>
          </w:tcPr>
          <w:p>
            <w:pPr>
              <w:spacing w:before="0" w:after="60" w:line="252" w:lineRule="auto"/>
            </w:pPr>
            <w:r>
              <w:rPr>
                <w:rFonts w:ascii="Times New Roman" w:hAnsi="Times New Roman"/>
                <w:color w:val="000000"/>
                <w:sz w:val="18"/>
              </w:rPr>
              <w:t>FDR &lt; .05</w:t>
            </w:r>
          </w:p>
        </w:tc>
        <w:tc>
          <w:tcPr>
            <w:tcW w:type="dxa" w:w="1296"/>
            <w:shd w:fill="FFFFFF"/>
          </w:tcPr>
          <w:p>
            <w:pPr>
              <w:spacing w:before="0" w:after="60" w:line="252" w:lineRule="auto"/>
            </w:pPr>
            <w:r>
              <w:rPr>
                <w:rFonts w:ascii="Times New Roman" w:hAnsi="Times New Roman"/>
                <w:color w:val="000000"/>
                <w:sz w:val="18"/>
              </w:rPr>
              <w:t>5,845</w:t>
            </w:r>
          </w:p>
        </w:tc>
        <w:tc>
          <w:tcPr>
            <w:tcW w:type="dxa" w:w="1296"/>
            <w:shd w:fill="FFFFFF"/>
          </w:tcPr>
          <w:p>
            <w:pPr>
              <w:spacing w:before="0" w:after="60" w:line="252" w:lineRule="auto"/>
            </w:pPr>
            <w:r>
              <w:rPr>
                <w:rFonts w:ascii="Times New Roman" w:hAnsi="Times New Roman"/>
                <w:color w:val="000000"/>
                <w:sz w:val="18"/>
              </w:rPr>
              <w:t>4,740</w:t>
            </w:r>
          </w:p>
        </w:tc>
        <w:tc>
          <w:tcPr>
            <w:tcW w:type="dxa" w:w="1296"/>
            <w:shd w:fill="FFFFFF"/>
          </w:tcPr>
          <w:p>
            <w:pPr>
              <w:spacing w:before="0" w:after="60" w:line="252" w:lineRule="auto"/>
            </w:pPr>
            <w:r>
              <w:rPr>
                <w:rFonts w:ascii="Times New Roman" w:hAnsi="Times New Roman"/>
                <w:color w:val="000000"/>
                <w:sz w:val="18"/>
              </w:rPr>
              <w:t>4,357</w:t>
            </w:r>
          </w:p>
        </w:tc>
        <w:tc>
          <w:tcPr>
            <w:tcW w:type="dxa" w:w="1224"/>
            <w:shd w:fill="FFFFFF"/>
          </w:tcPr>
          <w:p>
            <w:pPr>
              <w:spacing w:before="0" w:after="60" w:line="252" w:lineRule="auto"/>
            </w:pPr>
            <w:r>
              <w:rPr>
                <w:rFonts w:ascii="Times New Roman" w:hAnsi="Times New Roman"/>
                <w:color w:val="000000"/>
                <w:sz w:val="18"/>
              </w:rPr>
              <w:t>0.700</w:t>
            </w:r>
          </w:p>
        </w:tc>
      </w:tr>
      <w:tr>
        <w:trPr>
          <w:cantSplit/>
        </w:trPr>
        <w:tc>
          <w:tcPr>
            <w:tcW w:type="dxa" w:w="1512"/>
            <w:shd w:fill="FFFFFF"/>
          </w:tcPr>
          <w:p>
            <w:pPr>
              <w:spacing w:before="0" w:after="60" w:line="252" w:lineRule="auto"/>
            </w:pPr>
            <w:r>
              <w:rPr>
                <w:rFonts w:ascii="Times New Roman" w:hAnsi="Times New Roman"/>
                <w:color w:val="000000"/>
                <w:sz w:val="18"/>
              </w:rPr>
              <w:t>edgeR</w:t>
            </w:r>
          </w:p>
        </w:tc>
        <w:tc>
          <w:tcPr>
            <w:tcW w:type="dxa" w:w="2952"/>
            <w:shd w:fill="FFFFFF"/>
          </w:tcPr>
          <w:p>
            <w:pPr>
              <w:spacing w:before="0" w:after="60" w:line="252" w:lineRule="auto"/>
            </w:pPr>
            <w:r>
              <w:rPr>
                <w:rFonts w:ascii="Times New Roman" w:hAnsi="Times New Roman"/>
                <w:color w:val="000000"/>
                <w:sz w:val="18"/>
              </w:rPr>
              <w:t>FDR &lt; .05 + |LFC| &gt; .5</w:t>
            </w:r>
          </w:p>
        </w:tc>
        <w:tc>
          <w:tcPr>
            <w:tcW w:type="dxa" w:w="1296"/>
            <w:shd w:fill="FFFFFF"/>
          </w:tcPr>
          <w:p>
            <w:pPr>
              <w:spacing w:before="0" w:after="60" w:line="252" w:lineRule="auto"/>
            </w:pPr>
            <w:r>
              <w:rPr>
                <w:rFonts w:ascii="Times New Roman" w:hAnsi="Times New Roman"/>
                <w:color w:val="000000"/>
                <w:sz w:val="18"/>
              </w:rPr>
              <w:t>2,457</w:t>
            </w:r>
          </w:p>
        </w:tc>
        <w:tc>
          <w:tcPr>
            <w:tcW w:type="dxa" w:w="1296"/>
            <w:shd w:fill="FFFFFF"/>
          </w:tcPr>
          <w:p>
            <w:pPr>
              <w:spacing w:before="0" w:after="60" w:line="252" w:lineRule="auto"/>
            </w:pPr>
            <w:r>
              <w:rPr>
                <w:rFonts w:ascii="Times New Roman" w:hAnsi="Times New Roman"/>
                <w:color w:val="000000"/>
                <w:sz w:val="18"/>
              </w:rPr>
              <w:t>1,690</w:t>
            </w:r>
          </w:p>
        </w:tc>
        <w:tc>
          <w:tcPr>
            <w:tcW w:type="dxa" w:w="1296"/>
            <w:shd w:fill="FFFFFF"/>
          </w:tcPr>
          <w:p>
            <w:pPr>
              <w:spacing w:before="0" w:after="60" w:line="252" w:lineRule="auto"/>
            </w:pPr>
            <w:r>
              <w:rPr>
                <w:rFonts w:ascii="Times New Roman" w:hAnsi="Times New Roman"/>
                <w:color w:val="000000"/>
                <w:sz w:val="18"/>
              </w:rPr>
              <w:t>1,510</w:t>
            </w:r>
          </w:p>
        </w:tc>
        <w:tc>
          <w:tcPr>
            <w:tcW w:type="dxa" w:w="1224"/>
            <w:shd w:fill="FFFFFF"/>
          </w:tcPr>
          <w:p>
            <w:pPr>
              <w:spacing w:before="0" w:after="60" w:line="252" w:lineRule="auto"/>
            </w:pPr>
            <w:r>
              <w:rPr>
                <w:rFonts w:ascii="Times New Roman" w:hAnsi="Times New Roman"/>
                <w:color w:val="000000"/>
                <w:sz w:val="18"/>
              </w:rPr>
              <w:t>0.573</w:t>
            </w:r>
          </w:p>
        </w:tc>
      </w:tr>
      <w:tr>
        <w:trPr>
          <w:cantSplit/>
        </w:trPr>
        <w:tc>
          <w:tcPr>
            <w:tcW w:type="dxa" w:w="1512"/>
            <w:shd w:fill="FFFFFF"/>
          </w:tcPr>
          <w:p>
            <w:pPr>
              <w:spacing w:before="0" w:after="60" w:line="252" w:lineRule="auto"/>
            </w:pPr>
            <w:r>
              <w:rPr>
                <w:rFonts w:ascii="Times New Roman" w:hAnsi="Times New Roman"/>
                <w:color w:val="000000"/>
                <w:sz w:val="18"/>
              </w:rPr>
              <w:t>DESeq2</w:t>
            </w:r>
          </w:p>
        </w:tc>
        <w:tc>
          <w:tcPr>
            <w:tcW w:type="dxa" w:w="2952"/>
            <w:shd w:fill="FFFFFF"/>
          </w:tcPr>
          <w:p>
            <w:pPr>
              <w:spacing w:before="0" w:after="60" w:line="252" w:lineRule="auto"/>
            </w:pPr>
            <w:r>
              <w:rPr>
                <w:rFonts w:ascii="Times New Roman" w:hAnsi="Times New Roman"/>
                <w:color w:val="000000"/>
                <w:sz w:val="18"/>
              </w:rPr>
              <w:t>FDR &lt; .05</w:t>
            </w:r>
          </w:p>
        </w:tc>
        <w:tc>
          <w:tcPr>
            <w:tcW w:type="dxa" w:w="1296"/>
            <w:shd w:fill="FFFFFF"/>
          </w:tcPr>
          <w:p>
            <w:pPr>
              <w:spacing w:before="0" w:after="60" w:line="252" w:lineRule="auto"/>
            </w:pPr>
            <w:r>
              <w:rPr>
                <w:rFonts w:ascii="Times New Roman" w:hAnsi="Times New Roman"/>
                <w:color w:val="000000"/>
                <w:sz w:val="18"/>
              </w:rPr>
              <w:t>5,678</w:t>
            </w:r>
          </w:p>
        </w:tc>
        <w:tc>
          <w:tcPr>
            <w:tcW w:type="dxa" w:w="1296"/>
            <w:shd w:fill="FFFFFF"/>
          </w:tcPr>
          <w:p>
            <w:pPr>
              <w:spacing w:before="0" w:after="60" w:line="252" w:lineRule="auto"/>
            </w:pPr>
            <w:r>
              <w:rPr>
                <w:rFonts w:ascii="Times New Roman" w:hAnsi="Times New Roman"/>
                <w:color w:val="000000"/>
                <w:sz w:val="18"/>
              </w:rPr>
              <w:t>4,740</w:t>
            </w:r>
          </w:p>
        </w:tc>
        <w:tc>
          <w:tcPr>
            <w:tcW w:type="dxa" w:w="1296"/>
            <w:shd w:fill="FFFFFF"/>
          </w:tcPr>
          <w:p>
            <w:pPr>
              <w:spacing w:before="0" w:after="60" w:line="252" w:lineRule="auto"/>
            </w:pPr>
            <w:r>
              <w:rPr>
                <w:rFonts w:ascii="Times New Roman" w:hAnsi="Times New Roman"/>
                <w:color w:val="000000"/>
                <w:sz w:val="18"/>
              </w:rPr>
              <w:t>4,500</w:t>
            </w:r>
          </w:p>
        </w:tc>
        <w:tc>
          <w:tcPr>
            <w:tcW w:type="dxa" w:w="1224"/>
            <w:shd w:fill="FFFFFF"/>
          </w:tcPr>
          <w:p>
            <w:pPr>
              <w:spacing w:before="0" w:after="60" w:line="252" w:lineRule="auto"/>
            </w:pPr>
            <w:r>
              <w:rPr>
                <w:rFonts w:ascii="Times New Roman" w:hAnsi="Times New Roman"/>
                <w:color w:val="000000"/>
                <w:sz w:val="18"/>
              </w:rPr>
              <w:t>0.760</w:t>
            </w:r>
          </w:p>
        </w:tc>
      </w:tr>
      <w:tr>
        <w:trPr>
          <w:cantSplit/>
        </w:trPr>
        <w:tc>
          <w:tcPr>
            <w:tcW w:type="dxa" w:w="1512"/>
            <w:shd w:fill="FFFFFF"/>
          </w:tcPr>
          <w:p>
            <w:pPr>
              <w:spacing w:before="0" w:after="60" w:line="252" w:lineRule="auto"/>
            </w:pPr>
            <w:r>
              <w:rPr>
                <w:rFonts w:ascii="Times New Roman" w:hAnsi="Times New Roman"/>
                <w:color w:val="000000"/>
                <w:sz w:val="18"/>
              </w:rPr>
              <w:t>DESeq2</w:t>
            </w:r>
          </w:p>
        </w:tc>
        <w:tc>
          <w:tcPr>
            <w:tcW w:type="dxa" w:w="2952"/>
            <w:shd w:fill="FFFFFF"/>
          </w:tcPr>
          <w:p>
            <w:pPr>
              <w:spacing w:before="0" w:after="60" w:line="252" w:lineRule="auto"/>
            </w:pPr>
            <w:r>
              <w:rPr>
                <w:rFonts w:ascii="Times New Roman" w:hAnsi="Times New Roman"/>
                <w:color w:val="000000"/>
                <w:sz w:val="18"/>
              </w:rPr>
              <w:t>FDR &lt; .05 + |LFC| &gt; .5</w:t>
            </w:r>
          </w:p>
        </w:tc>
        <w:tc>
          <w:tcPr>
            <w:tcW w:type="dxa" w:w="1296"/>
            <w:shd w:fill="FFFFFF"/>
          </w:tcPr>
          <w:p>
            <w:pPr>
              <w:spacing w:before="0" w:after="60" w:line="252" w:lineRule="auto"/>
            </w:pPr>
            <w:r>
              <w:rPr>
                <w:rFonts w:ascii="Times New Roman" w:hAnsi="Times New Roman"/>
                <w:color w:val="000000"/>
                <w:sz w:val="18"/>
              </w:rPr>
              <w:t>1,934</w:t>
            </w:r>
          </w:p>
        </w:tc>
        <w:tc>
          <w:tcPr>
            <w:tcW w:type="dxa" w:w="1296"/>
            <w:shd w:fill="FFFFFF"/>
          </w:tcPr>
          <w:p>
            <w:pPr>
              <w:spacing w:before="0" w:after="60" w:line="252" w:lineRule="auto"/>
            </w:pPr>
            <w:r>
              <w:rPr>
                <w:rFonts w:ascii="Times New Roman" w:hAnsi="Times New Roman"/>
                <w:color w:val="000000"/>
                <w:sz w:val="18"/>
              </w:rPr>
              <w:t>1,690</w:t>
            </w:r>
          </w:p>
        </w:tc>
        <w:tc>
          <w:tcPr>
            <w:tcW w:type="dxa" w:w="1296"/>
            <w:shd w:fill="FFFFFF"/>
          </w:tcPr>
          <w:p>
            <w:pPr>
              <w:spacing w:before="0" w:after="60" w:line="252" w:lineRule="auto"/>
            </w:pPr>
            <w:r>
              <w:rPr>
                <w:rFonts w:ascii="Times New Roman" w:hAnsi="Times New Roman"/>
                <w:color w:val="000000"/>
                <w:sz w:val="18"/>
              </w:rPr>
              <w:t>1,497</w:t>
            </w:r>
          </w:p>
        </w:tc>
        <w:tc>
          <w:tcPr>
            <w:tcW w:type="dxa" w:w="1224"/>
            <w:shd w:fill="FFFFFF"/>
          </w:tcPr>
          <w:p>
            <w:pPr>
              <w:spacing w:before="0" w:after="60" w:line="252" w:lineRule="auto"/>
            </w:pPr>
            <w:r>
              <w:rPr>
                <w:rFonts w:ascii="Times New Roman" w:hAnsi="Times New Roman"/>
                <w:color w:val="000000"/>
                <w:sz w:val="18"/>
              </w:rPr>
              <w:t>0.704</w:t>
            </w:r>
          </w:p>
        </w:tc>
      </w:tr>
    </w:tbl>
    <w:p>
      <w:pPr>
        <w:keepNext w:val="0"/>
        <w:spacing w:before="0" w:after="60" w:line="252" w:lineRule="auto"/>
        <w:jc w:val="left"/>
      </w:pPr>
      <w:r>
        <w:rPr>
          <w:rFonts w:ascii="Times New Roman" w:hAnsi="Times New Roman" w:eastAsia="Times New Roman" w:cs="Times New Roman"/>
          <w:b w:val="0"/>
          <w:i w:val="0"/>
          <w:color w:val="000000"/>
          <w:sz w:val="18"/>
        </w:rPr>
      </w:r>
    </w:p>
    <w:p>
      <w:pPr>
        <w:keepNext w:val="0"/>
        <w:spacing w:before="0" w:after="240" w:line="252" w:lineRule="auto"/>
        <w:jc w:val="left"/>
      </w:pPr>
      <w:r>
        <w:rPr>
          <w:rFonts w:ascii="Times New Roman" w:hAnsi="Times New Roman" w:eastAsia="Times New Roman" w:cs="Times New Roman"/>
          <w:b w:val="0"/>
          <w:i w:val="0"/>
          <w:color w:val="000000"/>
          <w:sz w:val="18"/>
        </w:rPr>
        <w:t>For the |log2FC| &gt; 0.5 comparison, 1,497/1,497 DESeq2 shared genes and 1,509/1,510 edgeR shared genes have the same direction as the paper. Without this effect-size gate, the corresponding agreement is 4,499/4,500 and 4,355/4,357. Paper-wide FDR &lt; 0.05 plus |log2FC| &gt; 0.5 selects 1,728 original rows; after conservative mapping and the common-universe restriction, 1,690 remain. These denominators answer different questions.</w:t>
      </w:r>
    </w:p>
    <w:p>
      <w:pPr>
        <w:keepNext w:val="0"/>
        <w:spacing w:before="0" w:after="240" w:line="252" w:lineRule="auto"/>
        <w:jc w:val="left"/>
      </w:pPr>
      <w:r>
        <w:rPr>
          <w:rFonts w:ascii="Times New Roman" w:hAnsi="Times New Roman" w:eastAsia="Times New Roman" w:cs="Times New Roman"/>
          <w:b w:val="0"/>
          <w:i w:val="0"/>
          <w:color w:val="000000"/>
          <w:sz w:val="18"/>
        </w:rPr>
        <w:t>The paper used STAR, Gencode v30, Salmon and tximport, whereas the local matrix comes from HISAT2 and RefSeq featureCounts. It also restricted gene biotypes/chromosomes and used at least 20 reads in two samples; the classroom workflow uses 10 counts in two samples. The paper used edgeR v3, while this analysis uses edgeR v4. These differences make this a benchmark, not an exact pipeline reproduction. A higher correlation for DESeq2 does not establish that it is the better method.</w:t>
      </w:r>
      <w:r>
        <w:rPr>
          <w:rFonts w:ascii="Times New Roman" w:hAnsi="Times New Roman"/>
          <w:sz w:val="16"/>
          <w:vertAlign w:val="superscript"/>
        </w:rPr>
        <w:t>1</w:t>
      </w:r>
    </w:p>
    <w:p>
      <w:pPr>
        <w:keepNext w:val="0"/>
        <w:spacing w:before="0" w:after="240" w:line="252" w:lineRule="auto"/>
        <w:jc w:val="left"/>
      </w:pPr>
      <w:r>
        <w:rPr>
          <w:rFonts w:ascii="Times New Roman" w:hAnsi="Times New Roman" w:eastAsia="Times New Roman" w:cs="Times New Roman"/>
          <w:b w:val="0"/>
          <w:i w:val="0"/>
          <w:color w:val="000000"/>
          <w:sz w:val="18"/>
        </w:rPr>
        <w:t>Scientific review: the study connects acute KRAS suppression with ERK-linked transcription and cell-cycle programming. The local downward DUSP6/SPRY4 and MYC/CCND1 associations are consistent with that context. A pooled expression change alone cannot establish a direct KRAS target, a protein effect, or a dependency. Follow-up should examine line-level responses and experimental replication before making mechanistic claims.</w:t>
      </w:r>
      <w:r>
        <w:rPr>
          <w:rFonts w:ascii="Times New Roman" w:hAnsi="Times New Roman"/>
          <w:sz w:val="16"/>
          <w:vertAlign w:val="superscript"/>
        </w:rPr>
        <w:t>1</w:t>
      </w:r>
    </w:p>
    <w:p>
      <w:pPr>
        <w:pStyle w:val="Heading1"/>
        <w:keepNext/>
        <w:pageBreakBefore/>
        <w:spacing w:before="220" w:after="100" w:line="252" w:lineRule="auto"/>
      </w:pPr>
      <w:r>
        <w:rPr>
          <w:rFonts w:ascii="Times New Roman" w:hAnsi="Times New Roman" w:eastAsia="Times New Roman" w:cs="Times New Roman"/>
          <w:b/>
          <w:i w:val="0"/>
          <w:color w:val="000000"/>
          <w:sz w:val="28"/>
        </w:rPr>
        <w:t>Appendix E Candidate genes for discussion</w:t>
      </w:r>
    </w:p>
    <w:p>
      <w:pPr>
        <w:keepNext/>
        <w:spacing w:before="0" w:after="120" w:line="252" w:lineRule="auto"/>
        <w:jc w:val="center"/>
      </w:pPr>
      <w:r>
        <w:rPr>
          <w:rFonts w:ascii="Times New Roman" w:hAnsi="Times New Roman" w:eastAsia="Times New Roman" w:cs="Times New Roman"/>
          <w:b w:val="0"/>
          <w:i w:val="0"/>
          <w:color w:val="000000"/>
          <w:sz w:val="21"/>
        </w:rPr>
      </w:r>
      <w:r>
        <w:drawing>
          <wp:inline xmlns:a="http://schemas.openxmlformats.org/drawingml/2006/main" xmlns:pic="http://schemas.openxmlformats.org/drawingml/2006/picture">
            <wp:extent cx="6144768" cy="3349446"/>
            <wp:docPr id="7" name="Picture 7"/>
            <wp:cNvGraphicFramePr>
              <a:graphicFrameLocks noChangeAspect="1"/>
            </wp:cNvGraphicFramePr>
            <a:graphic>
              <a:graphicData uri="http://schemas.openxmlformats.org/drawingml/2006/picture">
                <pic:pic>
                  <pic:nvPicPr>
                    <pic:cNvPr id="0" name="E1_candidate_paired_expression.png"/>
                    <pic:cNvPicPr/>
                  </pic:nvPicPr>
                  <pic:blipFill>
                    <a:blip r:embed="rId20"/>
                    <a:stretch>
                      <a:fillRect/>
                    </a:stretch>
                  </pic:blipFill>
                  <pic:spPr>
                    <a:xfrm>
                      <a:off x="0" y="0"/>
                      <a:ext cx="6144768" cy="3349446"/>
                    </a:xfrm>
                    <a:prstGeom prst="rect"/>
                  </pic:spPr>
                </pic:pic>
              </a:graphicData>
            </a:graphic>
          </wp:inline>
        </w:drawing>
      </w:r>
    </w:p>
    <w:p>
      <w:pPr>
        <w:keepNext/>
        <w:spacing w:before="0" w:after="100" w:line="252" w:lineRule="auto"/>
        <w:jc w:val="both"/>
      </w:pPr>
      <w:r>
        <w:rPr>
          <w:rFonts w:ascii="Times New Roman" w:hAnsi="Times New Roman" w:eastAsia="Times New Roman" w:cs="Times New Roman"/>
          <w:b/>
          <w:i w:val="0"/>
          <w:color w:val="000000"/>
          <w:sz w:val="20"/>
        </w:rPr>
        <w:t>Figure E1  Candidate expression in matched cell lines</w:t>
      </w:r>
    </w:p>
    <w:p>
      <w:pPr>
        <w:keepNext w:val="0"/>
        <w:spacing w:before="0" w:after="240" w:line="252" w:lineRule="auto"/>
        <w:jc w:val="left"/>
      </w:pPr>
      <w:r>
        <w:rPr>
          <w:rFonts w:ascii="Times New Roman" w:hAnsi="Times New Roman" w:eastAsia="Times New Roman" w:cs="Times New Roman"/>
          <w:b w:val="0"/>
          <w:i w:val="0"/>
          <w:color w:val="000000"/>
          <w:sz w:val="18"/>
        </w:rPr>
        <w:t>DESeq2-normalized counts are shown as log2(count + 1). Each line connects one cell line; blue points are Control and red points are KRAS siRNA. These paired observations show heterogeneity without fitting separate line-specific treatment effects. MYC decreases in seven of eight lines despite a negative common model effect; EMP2 increases in all eight. P5 uses the main summed-library assumption.</w:t>
      </w:r>
    </w:p>
    <w:p>
      <w:pPr>
        <w:keepNext/>
        <w:spacing w:before="0" w:after="100" w:line="252" w:lineRule="auto"/>
        <w:jc w:val="both"/>
      </w:pPr>
      <w:r>
        <w:rPr>
          <w:rFonts w:ascii="Times New Roman" w:hAnsi="Times New Roman" w:eastAsia="Times New Roman" w:cs="Times New Roman"/>
          <w:b/>
          <w:i w:val="0"/>
          <w:color w:val="000000"/>
          <w:sz w:val="20"/>
        </w:rPr>
        <w:t>Table E1  Main estimates and robustness</w:t>
      </w:r>
    </w:p>
    <w:tbl>
      <w:tblPr>
        <w:tblW w:type="auto" w:w="0"/>
        <w:tblLayout w:type="fixed"/>
        <w:tblLook w:firstColumn="1" w:firstRow="1" w:lastColumn="0" w:lastRow="0" w:noHBand="0" w:noVBand="1" w:val="04A0"/>
        <w:tblBorders>
          <w:top w:val="single" w:sz="4" w:color="000000"/>
          <w:bottom w:val="single" w:sz="4" w:color="000000"/>
          <w:insideH w:val="single" w:sz="4" w:color="000000"/>
          <w:insideV w:val="single" w:sz="4" w:color="000000"/>
          <w:left w:val="single" w:sz="4" w:color="000000"/>
          <w:right w:val="single" w:sz="4" w:color="000000"/>
        </w:tblBorders>
      </w:tblPr>
      <w:tblGrid>
        <w:gridCol w:w="1224"/>
        <w:gridCol w:w="1584"/>
        <w:gridCol w:w="1584"/>
        <w:gridCol w:w="1728"/>
        <w:gridCol w:w="1728"/>
        <w:gridCol w:w="1728"/>
      </w:tblGrid>
      <w:tr>
        <w:trPr>
          <w:cantSplit/>
          <w:tblHeader/>
        </w:trPr>
        <w:tc>
          <w:tcPr>
            <w:tcW w:type="dxa" w:w="1224"/>
            <w:shd w:fill="FFFFFF"/>
          </w:tcPr>
          <w:p>
            <w:pPr>
              <w:spacing w:before="0" w:after="60" w:line="252" w:lineRule="auto"/>
            </w:pPr>
            <w:r>
              <w:rPr>
                <w:rFonts w:ascii="Times New Roman" w:hAnsi="Times New Roman"/>
                <w:b/>
                <w:color w:val="000000"/>
                <w:sz w:val="18"/>
              </w:rPr>
              <w:t>Gene</w:t>
            </w:r>
          </w:p>
        </w:tc>
        <w:tc>
          <w:tcPr>
            <w:tcW w:type="dxa" w:w="1584"/>
            <w:shd w:fill="FFFFFF"/>
          </w:tcPr>
          <w:p>
            <w:pPr>
              <w:spacing w:before="0" w:after="60" w:line="252" w:lineRule="auto"/>
            </w:pPr>
            <w:r>
              <w:rPr>
                <w:rFonts w:ascii="Times New Roman" w:hAnsi="Times New Roman"/>
                <w:b/>
                <w:color w:val="000000"/>
                <w:sz w:val="18"/>
              </w:rPr>
              <w:t>DESeq2 LFC</w:t>
            </w:r>
          </w:p>
        </w:tc>
        <w:tc>
          <w:tcPr>
            <w:tcW w:type="dxa" w:w="1584"/>
            <w:shd w:fill="FFFFFF"/>
          </w:tcPr>
          <w:p>
            <w:pPr>
              <w:spacing w:before="0" w:after="60" w:line="252" w:lineRule="auto"/>
            </w:pPr>
            <w:r>
              <w:rPr>
                <w:rFonts w:ascii="Times New Roman" w:hAnsi="Times New Roman"/>
                <w:b/>
                <w:color w:val="000000"/>
                <w:sz w:val="18"/>
              </w:rPr>
              <w:t>edgeR LFC</w:t>
            </w:r>
          </w:p>
        </w:tc>
        <w:tc>
          <w:tcPr>
            <w:tcW w:type="dxa" w:w="1728"/>
            <w:shd w:fill="FFFFFF"/>
          </w:tcPr>
          <w:p>
            <w:pPr>
              <w:spacing w:before="0" w:after="60" w:line="252" w:lineRule="auto"/>
            </w:pPr>
            <w:r>
              <w:rPr>
                <w:rFonts w:ascii="Times New Roman" w:hAnsi="Times New Roman"/>
                <w:b/>
                <w:color w:val="000000"/>
                <w:sz w:val="18"/>
              </w:rPr>
              <w:t>DESeq2 FDR</w:t>
            </w:r>
          </w:p>
        </w:tc>
        <w:tc>
          <w:tcPr>
            <w:tcW w:type="dxa" w:w="1728"/>
            <w:shd w:fill="FFFFFF"/>
          </w:tcPr>
          <w:p>
            <w:pPr>
              <w:spacing w:before="0" w:after="60" w:line="252" w:lineRule="auto"/>
            </w:pPr>
            <w:r>
              <w:rPr>
                <w:rFonts w:ascii="Times New Roman" w:hAnsi="Times New Roman"/>
                <w:b/>
                <w:color w:val="000000"/>
                <w:sz w:val="18"/>
              </w:rPr>
              <w:t>edgeR FDR</w:t>
            </w:r>
          </w:p>
        </w:tc>
        <w:tc>
          <w:tcPr>
            <w:tcW w:type="dxa" w:w="1728"/>
            <w:shd w:fill="FFFFFF"/>
          </w:tcPr>
          <w:p>
            <w:pPr>
              <w:spacing w:before="0" w:after="60" w:line="252" w:lineRule="auto"/>
            </w:pPr>
            <w:r>
              <w:rPr>
                <w:rFonts w:ascii="Times New Roman" w:hAnsi="Times New Roman"/>
                <w:b/>
                <w:color w:val="000000"/>
                <w:sz w:val="18"/>
              </w:rPr>
              <w:t>Paired direction</w:t>
            </w:r>
          </w:p>
        </w:tc>
      </w:tr>
      <w:tr>
        <w:trPr>
          <w:cantSplit/>
        </w:trPr>
        <w:tc>
          <w:tcPr>
            <w:tcW w:type="dxa" w:w="1224"/>
            <w:shd w:fill="FFFFFF"/>
          </w:tcPr>
          <w:p>
            <w:pPr>
              <w:spacing w:before="0" w:after="60" w:line="252" w:lineRule="auto"/>
            </w:pPr>
            <w:r>
              <w:rPr>
                <w:rFonts w:ascii="Times New Roman" w:hAnsi="Times New Roman"/>
                <w:color w:val="000000"/>
                <w:sz w:val="18"/>
              </w:rPr>
              <w:t>KRAS</w:t>
            </w:r>
          </w:p>
        </w:tc>
        <w:tc>
          <w:tcPr>
            <w:tcW w:type="dxa" w:w="1584"/>
            <w:shd w:fill="FFFFFF"/>
          </w:tcPr>
          <w:p>
            <w:pPr>
              <w:spacing w:before="0" w:after="60" w:line="252" w:lineRule="auto"/>
            </w:pPr>
            <w:r>
              <w:rPr>
                <w:rFonts w:ascii="Times New Roman" w:hAnsi="Times New Roman"/>
                <w:color w:val="000000"/>
                <w:sz w:val="18"/>
              </w:rPr>
              <w:t>-2.76</w:t>
            </w:r>
          </w:p>
        </w:tc>
        <w:tc>
          <w:tcPr>
            <w:tcW w:type="dxa" w:w="1584"/>
            <w:shd w:fill="FFFFFF"/>
          </w:tcPr>
          <w:p>
            <w:pPr>
              <w:spacing w:before="0" w:after="60" w:line="252" w:lineRule="auto"/>
            </w:pPr>
            <w:r>
              <w:rPr>
                <w:rFonts w:ascii="Times New Roman" w:hAnsi="Times New Roman"/>
                <w:color w:val="000000"/>
                <w:sz w:val="18"/>
              </w:rPr>
              <w:t>-2.74</w:t>
            </w:r>
          </w:p>
        </w:tc>
        <w:tc>
          <w:tcPr>
            <w:tcW w:type="dxa" w:w="1728"/>
            <w:shd w:fill="FFFFFF"/>
          </w:tcPr>
          <w:p>
            <w:pPr>
              <w:spacing w:before="0" w:after="60" w:line="252" w:lineRule="auto"/>
            </w:pPr>
            <w:r>
              <w:rPr>
                <w:rFonts w:ascii="Times New Roman" w:hAnsi="Times New Roman"/>
                <w:color w:val="000000"/>
                <w:sz w:val="18"/>
              </w:rPr>
              <w:t>2.4e-41</w:t>
            </w:r>
          </w:p>
        </w:tc>
        <w:tc>
          <w:tcPr>
            <w:tcW w:type="dxa" w:w="1728"/>
            <w:shd w:fill="FFFFFF"/>
          </w:tcPr>
          <w:p>
            <w:pPr>
              <w:spacing w:before="0" w:after="60" w:line="252" w:lineRule="auto"/>
            </w:pPr>
            <w:r>
              <w:rPr>
                <w:rFonts w:ascii="Times New Roman" w:hAnsi="Times New Roman"/>
                <w:color w:val="000000"/>
                <w:sz w:val="18"/>
              </w:rPr>
              <w:t>1.7e-06</w:t>
            </w:r>
          </w:p>
        </w:tc>
        <w:tc>
          <w:tcPr>
            <w:tcW w:type="dxa" w:w="1728"/>
            <w:shd w:fill="FFFFFF"/>
          </w:tcPr>
          <w:p>
            <w:pPr>
              <w:spacing w:before="0" w:after="60" w:line="252" w:lineRule="auto"/>
            </w:pPr>
            <w:r>
              <w:rPr>
                <w:rFonts w:ascii="Times New Roman" w:hAnsi="Times New Roman"/>
                <w:color w:val="000000"/>
                <w:sz w:val="18"/>
              </w:rPr>
              <w:t>8/8 down</w:t>
            </w:r>
          </w:p>
        </w:tc>
      </w:tr>
      <w:tr>
        <w:trPr>
          <w:cantSplit/>
        </w:trPr>
        <w:tc>
          <w:tcPr>
            <w:tcW w:type="dxa" w:w="1224"/>
            <w:shd w:fill="FFFFFF"/>
          </w:tcPr>
          <w:p>
            <w:pPr>
              <w:spacing w:before="0" w:after="60" w:line="252" w:lineRule="auto"/>
            </w:pPr>
            <w:r>
              <w:rPr>
                <w:rFonts w:ascii="Times New Roman" w:hAnsi="Times New Roman"/>
                <w:color w:val="000000"/>
                <w:sz w:val="18"/>
              </w:rPr>
              <w:t>DUSP6</w:t>
            </w:r>
          </w:p>
        </w:tc>
        <w:tc>
          <w:tcPr>
            <w:tcW w:type="dxa" w:w="1584"/>
            <w:shd w:fill="FFFFFF"/>
          </w:tcPr>
          <w:p>
            <w:pPr>
              <w:spacing w:before="0" w:after="60" w:line="252" w:lineRule="auto"/>
            </w:pPr>
            <w:r>
              <w:rPr>
                <w:rFonts w:ascii="Times New Roman" w:hAnsi="Times New Roman"/>
                <w:color w:val="000000"/>
                <w:sz w:val="18"/>
              </w:rPr>
              <w:t>-1.46</w:t>
            </w:r>
          </w:p>
        </w:tc>
        <w:tc>
          <w:tcPr>
            <w:tcW w:type="dxa" w:w="1584"/>
            <w:shd w:fill="FFFFFF"/>
          </w:tcPr>
          <w:p>
            <w:pPr>
              <w:spacing w:before="0" w:after="60" w:line="252" w:lineRule="auto"/>
            </w:pPr>
            <w:r>
              <w:rPr>
                <w:rFonts w:ascii="Times New Roman" w:hAnsi="Times New Roman"/>
                <w:color w:val="000000"/>
                <w:sz w:val="18"/>
              </w:rPr>
              <w:t>-1.30</w:t>
            </w:r>
          </w:p>
        </w:tc>
        <w:tc>
          <w:tcPr>
            <w:tcW w:type="dxa" w:w="1728"/>
            <w:shd w:fill="FFFFFF"/>
          </w:tcPr>
          <w:p>
            <w:pPr>
              <w:spacing w:before="0" w:after="60" w:line="252" w:lineRule="auto"/>
            </w:pPr>
            <w:r>
              <w:rPr>
                <w:rFonts w:ascii="Times New Roman" w:hAnsi="Times New Roman"/>
                <w:color w:val="000000"/>
                <w:sz w:val="18"/>
              </w:rPr>
              <w:t>0.00037</w:t>
            </w:r>
          </w:p>
        </w:tc>
        <w:tc>
          <w:tcPr>
            <w:tcW w:type="dxa" w:w="1728"/>
            <w:shd w:fill="FFFFFF"/>
          </w:tcPr>
          <w:p>
            <w:pPr>
              <w:spacing w:before="0" w:after="60" w:line="252" w:lineRule="auto"/>
            </w:pPr>
            <w:r>
              <w:rPr>
                <w:rFonts w:ascii="Times New Roman" w:hAnsi="Times New Roman"/>
                <w:color w:val="000000"/>
                <w:sz w:val="18"/>
              </w:rPr>
              <w:t>0.00077</w:t>
            </w:r>
          </w:p>
        </w:tc>
        <w:tc>
          <w:tcPr>
            <w:tcW w:type="dxa" w:w="1728"/>
            <w:shd w:fill="FFFFFF"/>
          </w:tcPr>
          <w:p>
            <w:pPr>
              <w:spacing w:before="0" w:after="60" w:line="252" w:lineRule="auto"/>
            </w:pPr>
            <w:r>
              <w:rPr>
                <w:rFonts w:ascii="Times New Roman" w:hAnsi="Times New Roman"/>
                <w:color w:val="000000"/>
                <w:sz w:val="18"/>
              </w:rPr>
              <w:t>8/8 down</w:t>
            </w:r>
          </w:p>
        </w:tc>
      </w:tr>
      <w:tr>
        <w:trPr>
          <w:cantSplit/>
        </w:trPr>
        <w:tc>
          <w:tcPr>
            <w:tcW w:type="dxa" w:w="1224"/>
            <w:shd w:fill="FFFFFF"/>
          </w:tcPr>
          <w:p>
            <w:pPr>
              <w:spacing w:before="0" w:after="60" w:line="252" w:lineRule="auto"/>
            </w:pPr>
            <w:r>
              <w:rPr>
                <w:rFonts w:ascii="Times New Roman" w:hAnsi="Times New Roman"/>
                <w:color w:val="000000"/>
                <w:sz w:val="18"/>
              </w:rPr>
              <w:t>SPRY4</w:t>
            </w:r>
          </w:p>
        </w:tc>
        <w:tc>
          <w:tcPr>
            <w:tcW w:type="dxa" w:w="1584"/>
            <w:shd w:fill="FFFFFF"/>
          </w:tcPr>
          <w:p>
            <w:pPr>
              <w:spacing w:before="0" w:after="60" w:line="252" w:lineRule="auto"/>
            </w:pPr>
            <w:r>
              <w:rPr>
                <w:rFonts w:ascii="Times New Roman" w:hAnsi="Times New Roman"/>
                <w:color w:val="000000"/>
                <w:sz w:val="18"/>
              </w:rPr>
              <w:t>-1.15</w:t>
            </w:r>
          </w:p>
        </w:tc>
        <w:tc>
          <w:tcPr>
            <w:tcW w:type="dxa" w:w="1584"/>
            <w:shd w:fill="FFFFFF"/>
          </w:tcPr>
          <w:p>
            <w:pPr>
              <w:spacing w:before="0" w:after="60" w:line="252" w:lineRule="auto"/>
            </w:pPr>
            <w:r>
              <w:rPr>
                <w:rFonts w:ascii="Times New Roman" w:hAnsi="Times New Roman"/>
                <w:color w:val="000000"/>
                <w:sz w:val="18"/>
              </w:rPr>
              <w:t>-1.16</w:t>
            </w:r>
          </w:p>
        </w:tc>
        <w:tc>
          <w:tcPr>
            <w:tcW w:type="dxa" w:w="1728"/>
            <w:shd w:fill="FFFFFF"/>
          </w:tcPr>
          <w:p>
            <w:pPr>
              <w:spacing w:before="0" w:after="60" w:line="252" w:lineRule="auto"/>
            </w:pPr>
            <w:r>
              <w:rPr>
                <w:rFonts w:ascii="Times New Roman" w:hAnsi="Times New Roman"/>
                <w:color w:val="000000"/>
                <w:sz w:val="18"/>
              </w:rPr>
              <w:t>4.5e-08</w:t>
            </w:r>
          </w:p>
        </w:tc>
        <w:tc>
          <w:tcPr>
            <w:tcW w:type="dxa" w:w="1728"/>
            <w:shd w:fill="FFFFFF"/>
          </w:tcPr>
          <w:p>
            <w:pPr>
              <w:spacing w:before="0" w:after="60" w:line="252" w:lineRule="auto"/>
            </w:pPr>
            <w:r>
              <w:rPr>
                <w:rFonts w:ascii="Times New Roman" w:hAnsi="Times New Roman"/>
                <w:color w:val="000000"/>
                <w:sz w:val="18"/>
              </w:rPr>
              <w:t>0.00034</w:t>
            </w:r>
          </w:p>
        </w:tc>
        <w:tc>
          <w:tcPr>
            <w:tcW w:type="dxa" w:w="1728"/>
            <w:shd w:fill="FFFFFF"/>
          </w:tcPr>
          <w:p>
            <w:pPr>
              <w:spacing w:before="0" w:after="60" w:line="252" w:lineRule="auto"/>
            </w:pPr>
            <w:r>
              <w:rPr>
                <w:rFonts w:ascii="Times New Roman" w:hAnsi="Times New Roman"/>
                <w:color w:val="000000"/>
                <w:sz w:val="18"/>
              </w:rPr>
              <w:t>8/8 down</w:t>
            </w:r>
          </w:p>
        </w:tc>
      </w:tr>
      <w:tr>
        <w:trPr>
          <w:cantSplit/>
        </w:trPr>
        <w:tc>
          <w:tcPr>
            <w:tcW w:type="dxa" w:w="1224"/>
            <w:shd w:fill="FFFFFF"/>
          </w:tcPr>
          <w:p>
            <w:pPr>
              <w:spacing w:before="0" w:after="60" w:line="252" w:lineRule="auto"/>
            </w:pPr>
            <w:r>
              <w:rPr>
                <w:rFonts w:ascii="Times New Roman" w:hAnsi="Times New Roman"/>
                <w:color w:val="000000"/>
                <w:sz w:val="18"/>
              </w:rPr>
              <w:t>MYC</w:t>
            </w:r>
          </w:p>
        </w:tc>
        <w:tc>
          <w:tcPr>
            <w:tcW w:type="dxa" w:w="1584"/>
            <w:shd w:fill="FFFFFF"/>
          </w:tcPr>
          <w:p>
            <w:pPr>
              <w:spacing w:before="0" w:after="60" w:line="252" w:lineRule="auto"/>
            </w:pPr>
            <w:r>
              <w:rPr>
                <w:rFonts w:ascii="Times New Roman" w:hAnsi="Times New Roman"/>
                <w:color w:val="000000"/>
                <w:sz w:val="18"/>
              </w:rPr>
              <w:t>-0.52</w:t>
            </w:r>
          </w:p>
        </w:tc>
        <w:tc>
          <w:tcPr>
            <w:tcW w:type="dxa" w:w="1584"/>
            <w:shd w:fill="FFFFFF"/>
          </w:tcPr>
          <w:p>
            <w:pPr>
              <w:spacing w:before="0" w:after="60" w:line="252" w:lineRule="auto"/>
            </w:pPr>
            <w:r>
              <w:rPr>
                <w:rFonts w:ascii="Times New Roman" w:hAnsi="Times New Roman"/>
                <w:color w:val="000000"/>
                <w:sz w:val="18"/>
              </w:rPr>
              <w:t>-0.52</w:t>
            </w:r>
          </w:p>
        </w:tc>
        <w:tc>
          <w:tcPr>
            <w:tcW w:type="dxa" w:w="1728"/>
            <w:shd w:fill="FFFFFF"/>
          </w:tcPr>
          <w:p>
            <w:pPr>
              <w:spacing w:before="0" w:after="60" w:line="252" w:lineRule="auto"/>
            </w:pPr>
            <w:r>
              <w:rPr>
                <w:rFonts w:ascii="Times New Roman" w:hAnsi="Times New Roman"/>
                <w:color w:val="000000"/>
                <w:sz w:val="18"/>
              </w:rPr>
              <w:t>6.3e-05</w:t>
            </w:r>
          </w:p>
        </w:tc>
        <w:tc>
          <w:tcPr>
            <w:tcW w:type="dxa" w:w="1728"/>
            <w:shd w:fill="FFFFFF"/>
          </w:tcPr>
          <w:p>
            <w:pPr>
              <w:spacing w:before="0" w:after="60" w:line="252" w:lineRule="auto"/>
            </w:pPr>
            <w:r>
              <w:rPr>
                <w:rFonts w:ascii="Times New Roman" w:hAnsi="Times New Roman"/>
                <w:color w:val="000000"/>
                <w:sz w:val="18"/>
              </w:rPr>
              <w:t>0.0019</w:t>
            </w:r>
          </w:p>
        </w:tc>
        <w:tc>
          <w:tcPr>
            <w:tcW w:type="dxa" w:w="1728"/>
            <w:shd w:fill="FFFFFF"/>
          </w:tcPr>
          <w:p>
            <w:pPr>
              <w:spacing w:before="0" w:after="60" w:line="252" w:lineRule="auto"/>
            </w:pPr>
            <w:r>
              <w:rPr>
                <w:rFonts w:ascii="Times New Roman" w:hAnsi="Times New Roman"/>
                <w:color w:val="000000"/>
                <w:sz w:val="18"/>
              </w:rPr>
              <w:t>7/8 down</w:t>
            </w:r>
          </w:p>
        </w:tc>
      </w:tr>
      <w:tr>
        <w:trPr>
          <w:cantSplit/>
        </w:trPr>
        <w:tc>
          <w:tcPr>
            <w:tcW w:type="dxa" w:w="1224"/>
            <w:shd w:fill="FFFFFF"/>
          </w:tcPr>
          <w:p>
            <w:pPr>
              <w:spacing w:before="0" w:after="60" w:line="252" w:lineRule="auto"/>
            </w:pPr>
            <w:r>
              <w:rPr>
                <w:rFonts w:ascii="Times New Roman" w:hAnsi="Times New Roman"/>
                <w:color w:val="000000"/>
                <w:sz w:val="18"/>
              </w:rPr>
              <w:t>CCND1</w:t>
            </w:r>
          </w:p>
        </w:tc>
        <w:tc>
          <w:tcPr>
            <w:tcW w:type="dxa" w:w="1584"/>
            <w:shd w:fill="FFFFFF"/>
          </w:tcPr>
          <w:p>
            <w:pPr>
              <w:spacing w:before="0" w:after="60" w:line="252" w:lineRule="auto"/>
            </w:pPr>
            <w:r>
              <w:rPr>
                <w:rFonts w:ascii="Times New Roman" w:hAnsi="Times New Roman"/>
                <w:color w:val="000000"/>
                <w:sz w:val="18"/>
              </w:rPr>
              <w:t>-1.15</w:t>
            </w:r>
          </w:p>
        </w:tc>
        <w:tc>
          <w:tcPr>
            <w:tcW w:type="dxa" w:w="1584"/>
            <w:shd w:fill="FFFFFF"/>
          </w:tcPr>
          <w:p>
            <w:pPr>
              <w:spacing w:before="0" w:after="60" w:line="252" w:lineRule="auto"/>
            </w:pPr>
            <w:r>
              <w:rPr>
                <w:rFonts w:ascii="Times New Roman" w:hAnsi="Times New Roman"/>
                <w:color w:val="000000"/>
                <w:sz w:val="18"/>
              </w:rPr>
              <w:t>-1.15</w:t>
            </w:r>
          </w:p>
        </w:tc>
        <w:tc>
          <w:tcPr>
            <w:tcW w:type="dxa" w:w="1728"/>
            <w:shd w:fill="FFFFFF"/>
          </w:tcPr>
          <w:p>
            <w:pPr>
              <w:spacing w:before="0" w:after="60" w:line="252" w:lineRule="auto"/>
            </w:pPr>
            <w:r>
              <w:rPr>
                <w:rFonts w:ascii="Times New Roman" w:hAnsi="Times New Roman"/>
                <w:color w:val="000000"/>
                <w:sz w:val="18"/>
              </w:rPr>
              <w:t>1.2e-14</w:t>
            </w:r>
          </w:p>
        </w:tc>
        <w:tc>
          <w:tcPr>
            <w:tcW w:type="dxa" w:w="1728"/>
            <w:shd w:fill="FFFFFF"/>
          </w:tcPr>
          <w:p>
            <w:pPr>
              <w:spacing w:before="0" w:after="60" w:line="252" w:lineRule="auto"/>
            </w:pPr>
            <w:r>
              <w:rPr>
                <w:rFonts w:ascii="Times New Roman" w:hAnsi="Times New Roman"/>
                <w:color w:val="000000"/>
                <w:sz w:val="18"/>
              </w:rPr>
              <w:t>2.8e-05</w:t>
            </w:r>
          </w:p>
        </w:tc>
        <w:tc>
          <w:tcPr>
            <w:tcW w:type="dxa" w:w="1728"/>
            <w:shd w:fill="FFFFFF"/>
          </w:tcPr>
          <w:p>
            <w:pPr>
              <w:spacing w:before="0" w:after="60" w:line="252" w:lineRule="auto"/>
            </w:pPr>
            <w:r>
              <w:rPr>
                <w:rFonts w:ascii="Times New Roman" w:hAnsi="Times New Roman"/>
                <w:color w:val="000000"/>
                <w:sz w:val="18"/>
              </w:rPr>
              <w:t>8/8 down</w:t>
            </w:r>
          </w:p>
        </w:tc>
      </w:tr>
      <w:tr>
        <w:trPr>
          <w:cantSplit/>
        </w:trPr>
        <w:tc>
          <w:tcPr>
            <w:tcW w:type="dxa" w:w="1224"/>
            <w:shd w:fill="FFFFFF"/>
          </w:tcPr>
          <w:p>
            <w:pPr>
              <w:spacing w:before="0" w:after="60" w:line="252" w:lineRule="auto"/>
            </w:pPr>
            <w:r>
              <w:rPr>
                <w:rFonts w:ascii="Times New Roman" w:hAnsi="Times New Roman"/>
                <w:color w:val="000000"/>
                <w:sz w:val="18"/>
              </w:rPr>
              <w:t>EMP2</w:t>
            </w:r>
          </w:p>
        </w:tc>
        <w:tc>
          <w:tcPr>
            <w:tcW w:type="dxa" w:w="1584"/>
            <w:shd w:fill="FFFFFF"/>
          </w:tcPr>
          <w:p>
            <w:pPr>
              <w:spacing w:before="0" w:after="60" w:line="252" w:lineRule="auto"/>
            </w:pPr>
            <w:r>
              <w:rPr>
                <w:rFonts w:ascii="Times New Roman" w:hAnsi="Times New Roman"/>
                <w:color w:val="000000"/>
                <w:sz w:val="18"/>
              </w:rPr>
              <w:t>2.37</w:t>
            </w:r>
          </w:p>
        </w:tc>
        <w:tc>
          <w:tcPr>
            <w:tcW w:type="dxa" w:w="1584"/>
            <w:shd w:fill="FFFFFF"/>
          </w:tcPr>
          <w:p>
            <w:pPr>
              <w:spacing w:before="0" w:after="60" w:line="252" w:lineRule="auto"/>
            </w:pPr>
            <w:r>
              <w:rPr>
                <w:rFonts w:ascii="Times New Roman" w:hAnsi="Times New Roman"/>
                <w:color w:val="000000"/>
                <w:sz w:val="18"/>
              </w:rPr>
              <w:t>2.36</w:t>
            </w:r>
          </w:p>
        </w:tc>
        <w:tc>
          <w:tcPr>
            <w:tcW w:type="dxa" w:w="1728"/>
            <w:shd w:fill="FFFFFF"/>
          </w:tcPr>
          <w:p>
            <w:pPr>
              <w:spacing w:before="0" w:after="60" w:line="252" w:lineRule="auto"/>
            </w:pPr>
            <w:r>
              <w:rPr>
                <w:rFonts w:ascii="Times New Roman" w:hAnsi="Times New Roman"/>
                <w:color w:val="000000"/>
                <w:sz w:val="18"/>
              </w:rPr>
              <w:t>1.7e-93</w:t>
            </w:r>
          </w:p>
        </w:tc>
        <w:tc>
          <w:tcPr>
            <w:tcW w:type="dxa" w:w="1728"/>
            <w:shd w:fill="FFFFFF"/>
          </w:tcPr>
          <w:p>
            <w:pPr>
              <w:spacing w:before="0" w:after="60" w:line="252" w:lineRule="auto"/>
            </w:pPr>
            <w:r>
              <w:rPr>
                <w:rFonts w:ascii="Times New Roman" w:hAnsi="Times New Roman"/>
                <w:color w:val="000000"/>
                <w:sz w:val="18"/>
              </w:rPr>
              <w:t>3.9e-08</w:t>
            </w:r>
          </w:p>
        </w:tc>
        <w:tc>
          <w:tcPr>
            <w:tcW w:type="dxa" w:w="1728"/>
            <w:shd w:fill="FFFFFF"/>
          </w:tcPr>
          <w:p>
            <w:pPr>
              <w:spacing w:before="0" w:after="60" w:line="252" w:lineRule="auto"/>
            </w:pPr>
            <w:r>
              <w:rPr>
                <w:rFonts w:ascii="Times New Roman" w:hAnsi="Times New Roman"/>
                <w:color w:val="000000"/>
                <w:sz w:val="18"/>
              </w:rPr>
              <w:t>8/8 up</w:t>
            </w:r>
          </w:p>
        </w:tc>
      </w:tr>
    </w:tbl>
    <w:p>
      <w:pPr>
        <w:keepNext w:val="0"/>
        <w:spacing w:before="0" w:after="60" w:line="252" w:lineRule="auto"/>
        <w:jc w:val="left"/>
      </w:pPr>
      <w:r>
        <w:rPr>
          <w:rFonts w:ascii="Times New Roman" w:hAnsi="Times New Roman" w:eastAsia="Times New Roman" w:cs="Times New Roman"/>
          <w:b w:val="0"/>
          <w:i w:val="0"/>
          <w:color w:val="000000"/>
          <w:sz w:val="18"/>
        </w:rPr>
      </w:r>
    </w:p>
    <w:p>
      <w:pPr>
        <w:keepNext w:val="0"/>
        <w:spacing w:before="0" w:after="240" w:line="252" w:lineRule="auto"/>
        <w:jc w:val="left"/>
      </w:pPr>
      <w:r>
        <w:rPr>
          <w:rFonts w:ascii="Times New Roman" w:hAnsi="Times New Roman" w:eastAsia="Times New Roman" w:cs="Times New Roman"/>
          <w:b w:val="0"/>
          <w:i w:val="0"/>
          <w:color w:val="000000"/>
          <w:sz w:val="18"/>
        </w:rPr>
        <w:t>All six selected genes have FDR &lt; 0.05 and the same direction in both methods under all three P5 choices. They were selected for the KRAS/ERK and cell-cycle discussion, together with one strong upward example; this is not an unbiased enrichment analysis. KRAS provides a knockdown check; DUSP6 and SPRY4 are established KRAS-ERK readouts in the source study. MYC and CCND1 provide cell-cycle context. EMP2 is an upward expression candidate; this analysis does not establish its mechanism.</w:t>
      </w:r>
      <w:r>
        <w:rPr>
          <w:rFonts w:ascii="Times New Roman" w:hAnsi="Times New Roman"/>
          <w:sz w:val="16"/>
          <w:vertAlign w:val="superscript"/>
        </w:rPr>
        <w:t>1</w:t>
      </w:r>
    </w:p>
    <w:p>
      <w:pPr>
        <w:keepNext w:val="0"/>
        <w:spacing w:before="0" w:after="240" w:line="252" w:lineRule="auto"/>
        <w:jc w:val="left"/>
      </w:pPr>
      <w:r>
        <w:rPr>
          <w:rFonts w:ascii="Times New Roman" w:hAnsi="Times New Roman" w:eastAsia="Times New Roman" w:cs="Times New Roman"/>
          <w:b w:val="0"/>
          <w:i w:val="0"/>
          <w:color w:val="000000"/>
          <w:sz w:val="18"/>
        </w:rPr>
        <w:t>Candidate status is provisional. Full tables retain every input gene, including filtered genes and unavailable adjusted p values. Small FDR values do not imply large effects, and post hoc effect-size filtering is not a test of a nonzero effect-size threshold. No enrichment or causal interpretation was added to this week’s results.</w:t>
      </w:r>
    </w:p>
    <w:p>
      <w:pPr>
        <w:keepNext w:val="0"/>
        <w:spacing w:before="0" w:after="240" w:line="252" w:lineRule="auto"/>
        <w:jc w:val="left"/>
      </w:pPr>
      <w:r>
        <w:rPr>
          <w:rFonts w:ascii="Times New Roman" w:hAnsi="Times New Roman" w:eastAsia="Times New Roman" w:cs="Times New Roman"/>
          <w:b w:val="0"/>
          <w:i w:val="0"/>
          <w:color w:val="000000"/>
          <w:sz w:val="18"/>
        </w:rPr>
        <w:t>Software: R 4.5.2; DESeq2 1.50.2; edgeR 4.8.2; apeglm 1.32.0. Package versions and the dependency lockfile accompany the reproducible source package.</w:t>
      </w:r>
    </w:p>
    <w:p>
      <w:pPr>
        <w:pStyle w:val="Heading1"/>
        <w:keepNext/>
        <w:pageBreakBefore/>
        <w:spacing w:before="220" w:after="100" w:line="252" w:lineRule="auto"/>
      </w:pPr>
      <w:r>
        <w:rPr>
          <w:rFonts w:ascii="Times New Roman" w:hAnsi="Times New Roman" w:eastAsia="Times New Roman" w:cs="Times New Roman"/>
          <w:b/>
          <w:i w:val="0"/>
          <w:color w:val="000000"/>
          <w:sz w:val="28"/>
        </w:rPr>
        <w:t>Appendix F Transformation and dispersion diagnostics</w:t>
      </w:r>
    </w:p>
    <w:p>
      <w:pPr>
        <w:keepNext/>
        <w:spacing w:before="0" w:after="120" w:line="252" w:lineRule="auto"/>
        <w:jc w:val="center"/>
      </w:pPr>
      <w:r>
        <w:rPr>
          <w:rFonts w:ascii="Times New Roman" w:hAnsi="Times New Roman" w:eastAsia="Times New Roman" w:cs="Times New Roman"/>
          <w:b w:val="0"/>
          <w:i w:val="0"/>
          <w:color w:val="000000"/>
          <w:sz w:val="21"/>
        </w:rPr>
      </w:r>
      <w:r>
        <w:drawing>
          <wp:inline xmlns:a="http://schemas.openxmlformats.org/drawingml/2006/main" xmlns:pic="http://schemas.openxmlformats.org/drawingml/2006/picture">
            <wp:extent cx="5852160" cy="2043718"/>
            <wp:docPr id="8" name="Picture 8"/>
            <wp:cNvGraphicFramePr>
              <a:graphicFrameLocks noChangeAspect="1"/>
            </wp:cNvGraphicFramePr>
            <a:graphic>
              <a:graphicData uri="http://schemas.openxmlformats.org/drawingml/2006/picture">
                <pic:pic>
                  <pic:nvPicPr>
                    <pic:cNvPr id="0" name="F1_mean_SD.png"/>
                    <pic:cNvPicPr/>
                  </pic:nvPicPr>
                  <pic:blipFill>
                    <a:blip r:embed="rId21"/>
                    <a:stretch>
                      <a:fillRect/>
                    </a:stretch>
                  </pic:blipFill>
                  <pic:spPr>
                    <a:xfrm>
                      <a:off x="0" y="0"/>
                      <a:ext cx="5852160" cy="2043718"/>
                    </a:xfrm>
                    <a:prstGeom prst="rect"/>
                  </pic:spPr>
                </pic:pic>
              </a:graphicData>
            </a:graphic>
          </wp:inline>
        </w:drawing>
      </w:r>
    </w:p>
    <w:p>
      <w:pPr>
        <w:keepNext/>
        <w:spacing w:before="0" w:after="100" w:line="252" w:lineRule="auto"/>
        <w:jc w:val="both"/>
      </w:pPr>
      <w:r>
        <w:rPr>
          <w:rFonts w:ascii="Times New Roman" w:hAnsi="Times New Roman" w:eastAsia="Times New Roman" w:cs="Times New Roman"/>
          <w:b/>
          <w:i w:val="0"/>
          <w:color w:val="000000"/>
          <w:sz w:val="20"/>
        </w:rPr>
        <w:t>Figure F1  Mean and standard deviation after transformation</w:t>
      </w:r>
    </w:p>
    <w:p>
      <w:pPr>
        <w:keepNext w:val="0"/>
        <w:spacing w:before="0" w:after="240" w:line="252" w:lineRule="auto"/>
        <w:jc w:val="left"/>
      </w:pPr>
      <w:r>
        <w:rPr>
          <w:rFonts w:ascii="Times New Roman" w:hAnsi="Times New Roman" w:eastAsia="Times New Roman" w:cs="Times New Roman"/>
          <w:b w:val="0"/>
          <w:i w:val="0"/>
          <w:color w:val="000000"/>
          <w:sz w:val="18"/>
        </w:rPr>
        <w:t>Across-sample SD is plotted against mean transformed expression for log2 normalized counts, VST and TMM logCPM. The plots describe the relationship between abundance and variability; biological cell-line differences remain in the SD. VST and logCPM are used for descriptive distances and PCA, while count models are used for differential-expression testing.</w:t>
      </w:r>
    </w:p>
    <w:p>
      <w:pPr>
        <w:keepNext/>
        <w:spacing w:before="0" w:after="120" w:line="252" w:lineRule="auto"/>
        <w:jc w:val="center"/>
      </w:pPr>
      <w:r>
        <w:rPr>
          <w:rFonts w:ascii="Times New Roman" w:hAnsi="Times New Roman" w:eastAsia="Times New Roman" w:cs="Times New Roman"/>
          <w:b w:val="0"/>
          <w:i w:val="0"/>
          <w:color w:val="000000"/>
          <w:sz w:val="21"/>
        </w:rPr>
      </w:r>
      <w:r>
        <w:drawing>
          <wp:inline xmlns:a="http://schemas.openxmlformats.org/drawingml/2006/main" xmlns:pic="http://schemas.openxmlformats.org/drawingml/2006/picture">
            <wp:extent cx="5852160" cy="2043718"/>
            <wp:docPr id="9" name="Picture 9"/>
            <wp:cNvGraphicFramePr>
              <a:graphicFrameLocks noChangeAspect="1"/>
            </wp:cNvGraphicFramePr>
            <a:graphic>
              <a:graphicData uri="http://schemas.openxmlformats.org/drawingml/2006/picture">
                <pic:pic>
                  <pic:nvPicPr>
                    <pic:cNvPr id="0" name="F2_dispersion_summary.png"/>
                    <pic:cNvPicPr/>
                  </pic:nvPicPr>
                  <pic:blipFill>
                    <a:blip r:embed="rId22"/>
                    <a:stretch>
                      <a:fillRect/>
                    </a:stretch>
                  </pic:blipFill>
                  <pic:spPr>
                    <a:xfrm>
                      <a:off x="0" y="0"/>
                      <a:ext cx="5852160" cy="2043718"/>
                    </a:xfrm>
                    <a:prstGeom prst="rect"/>
                  </pic:spPr>
                </pic:pic>
              </a:graphicData>
            </a:graphic>
          </wp:inline>
        </w:drawing>
      </w:r>
    </w:p>
    <w:p>
      <w:pPr>
        <w:keepNext/>
        <w:spacing w:before="0" w:after="100" w:line="252" w:lineRule="auto"/>
        <w:jc w:val="both"/>
      </w:pPr>
      <w:r>
        <w:rPr>
          <w:rFonts w:ascii="Times New Roman" w:hAnsi="Times New Roman" w:eastAsia="Times New Roman" w:cs="Times New Roman"/>
          <w:b/>
          <w:i w:val="0"/>
          <w:color w:val="000000"/>
          <w:sz w:val="20"/>
        </w:rPr>
        <w:t>Figure F2  Dispersion estimates</w:t>
      </w:r>
    </w:p>
    <w:p>
      <w:pPr>
        <w:keepNext w:val="0"/>
        <w:spacing w:before="0" w:after="120" w:line="252" w:lineRule="auto"/>
        <w:jc w:val="left"/>
      </w:pPr>
      <w:r>
        <w:rPr>
          <w:rFonts w:ascii="Times New Roman" w:hAnsi="Times New Roman" w:eastAsia="Times New Roman" w:cs="Times New Roman"/>
          <w:b w:val="0"/>
          <w:i w:val="0"/>
          <w:color w:val="000000"/>
          <w:sz w:val="18"/>
        </w:rPr>
        <w:t>DESeq2 final negative-binomial dispersions and the fitted trend, edgeR biological coefficient of variation (square root of NB dispersion), and edgeR moderated QL posterior variance with its prior trend. These estimates describe excess count variation and its moderation; they do not verify replicate independence. The separate three-page R diagnostic PDF contains the native plotting functions for inspection.</w:t>
      </w:r>
      <w:r>
        <w:rPr>
          <w:rFonts w:ascii="Times New Roman" w:hAnsi="Times New Roman"/>
          <w:sz w:val="16"/>
          <w:vertAlign w:val="superscript"/>
        </w:rPr>
        <w:t>2,3</w:t>
      </w:r>
    </w:p>
    <w:p>
      <w:pPr>
        <w:pStyle w:val="Heading1"/>
        <w:keepNext/>
        <w:spacing w:before="220" w:after="100" w:line="252" w:lineRule="auto"/>
      </w:pPr>
      <w:r>
        <w:rPr>
          <w:rFonts w:ascii="Times New Roman" w:hAnsi="Times New Roman" w:eastAsia="Times New Roman" w:cs="Times New Roman"/>
          <w:b/>
          <w:i w:val="0"/>
          <w:color w:val="000000"/>
          <w:sz w:val="28"/>
        </w:rPr>
        <w:t>References</w:t>
      </w:r>
    </w:p>
    <w:p>
      <w:pPr>
        <w:pStyle w:val="ListNumber"/>
        <w:keepNext w:val="0"/>
        <w:spacing w:before="0" w:after="100" w:line="252" w:lineRule="auto"/>
        <w:jc w:val="left"/>
      </w:pPr>
      <w:r>
        <w:rPr>
          <w:sz w:val="18"/>
        </w:rPr>
        <w:t>Klomp JA, Klomp JE, Stalnecker CA, Bryant KL, Edwards AC, Drizyte-Miller K, et al. Defining the KRAS- and ERK-dependent transcriptome in KRAS-mutant cancers. Science. 2024;384(6700):eadk0775. doi:10.1126/science.adk0775. Data S1.</w:t>
      </w:r>
    </w:p>
    <w:p>
      <w:pPr>
        <w:pStyle w:val="ListNumber"/>
        <w:keepNext w:val="0"/>
        <w:spacing w:before="0" w:after="100" w:line="252" w:lineRule="auto"/>
        <w:jc w:val="left"/>
      </w:pPr>
      <w:r>
        <w:rPr>
          <w:sz w:val="18"/>
        </w:rPr>
        <w:t>Love MI, Huber W, Anders S. Moderated estimation of fold change and dispersion for RNA-seq data with DESeq2. Genome Biol. 2014;15(12):550. doi:10.1186/s13059-014-0550-8.</w:t>
      </w:r>
    </w:p>
    <w:p>
      <w:pPr>
        <w:pStyle w:val="ListNumber"/>
        <w:keepNext w:val="0"/>
        <w:spacing w:before="0" w:after="100" w:line="252" w:lineRule="auto"/>
        <w:jc w:val="left"/>
      </w:pPr>
      <w:r>
        <w:rPr>
          <w:sz w:val="18"/>
        </w:rPr>
        <w:t>Chen Y, Chen L, Lun ATL, Baldoni PL, Smyth GK. edgeR v4: powerful differential analysis of sequencing data with expanded functionality and improved support for small counts and larger datasets. Nucleic Acids Res. 2025;53(2):gkaf018. doi:10.1093/nar/gkaf018.</w:t>
      </w:r>
    </w:p>
    <w:p>
      <w:pPr>
        <w:pStyle w:val="ListNumber"/>
        <w:keepNext w:val="0"/>
        <w:spacing w:before="0" w:after="100" w:line="252" w:lineRule="auto"/>
        <w:jc w:val="left"/>
      </w:pPr>
      <w:r>
        <w:rPr>
          <w:sz w:val="18"/>
        </w:rPr>
        <w:t>Zhu A, Ibrahim JG, Love MI. Heavy-tailed prior distributions for sequence count data: removing the noise and preserving large differences. Bioinformatics. 2019;35(12):2084-92. doi:10.1093/bioinformatics/bty895.</w:t>
      </w:r>
    </w:p>
    <w:p>
      <w:pPr>
        <w:pStyle w:val="ListNumber"/>
        <w:keepNext w:val="0"/>
        <w:spacing w:before="0" w:after="100" w:line="252" w:lineRule="auto"/>
        <w:jc w:val="left"/>
      </w:pPr>
      <w:r>
        <w:rPr>
          <w:sz w:val="18"/>
        </w:rPr>
        <w:t>Adrian. DESeq2 Tutorial KRAS; edgeR Tutorial KRAS; weekly tasks announcement. Biomedical DryLab [private course materials]. 2026 Oct 3. Accessed 2026 Oct 4.</w:t>
      </w:r>
    </w:p>
    <w:p>
      <w:pPr>
        <w:pStyle w:val="ListNumber"/>
        <w:keepNext w:val="0"/>
        <w:spacing w:before="0" w:after="100" w:line="252" w:lineRule="auto"/>
        <w:jc w:val="left"/>
      </w:pPr>
      <w:r>
        <w:rPr>
          <w:sz w:val="18"/>
        </w:rPr>
        <w:t>European Nucleotide Archive. PRJNA980201 run metadata [Internet]. Accessed 2026 Oct 4. Available from: https://www.ebi.ac.uk/ena/browser/view/PRJNA980201.</w:t>
      </w:r>
    </w:p>
    <w:p>
      <w:pPr>
        <w:keepNext w:val="0"/>
        <w:spacing w:before="0" w:after="100" w:line="252" w:lineRule="auto"/>
        <w:jc w:val="both"/>
      </w:pPr>
      <w:r>
        <w:rPr>
          <w:rFonts w:ascii="Times New Roman" w:hAnsi="Times New Roman" w:eastAsia="Times New Roman" w:cs="Times New Roman"/>
          <w:b w:val="0"/>
          <w:i w:val="0"/>
          <w:color w:val="000000"/>
          <w:sz w:val="21"/>
        </w:rPr>
        <w:t>Review: ____________________    Date: ____________________</w:t>
      </w:r>
    </w:p>
    <w:sectPr w:rsidR="00FC693F" w:rsidRPr="0006063C" w:rsidSect="00034616">
      <w:footerReference w:type="default" r:id="rId9"/>
      <w:pgSz w:w="12240" w:h="15840"/>
      <w:pgMar w:top="1037" w:right="1195" w:bottom="979" w:left="1195" w:header="403"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cs="Times New Roman"/>
        <w:b w:val="0"/>
        <w:i w:val="0"/>
        <w:color w:val="000000"/>
        <w:sz w:val="17"/>
      </w:rPr>
      <w:t xml:space="preserve">Page </w:t>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0" Type="http://schemas.openxmlformats.org/officeDocument/2006/relationships/image" Target="media/image1.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KRAS suppression in pancreatic cancer cells</dc:title>
  <dc:subject>RNA-seq progress report through 1 October 2026</dc:subject>
  <dc:creator>Yichuan Lin</dc:creator>
  <cp:keywords/>
  <dc:description/>
  <cp:lastModifiedBy/>
  <cp:revision>1</cp:revision>
  <dcterms:created xsi:type="dcterms:W3CDTF">2013-12-23T23:15:00Z</dcterms:created>
  <dcterms:modified xsi:type="dcterms:W3CDTF">2013-12-23T23:15:00Z</dcterms:modified>
  <cp:category/>
</cp:coreProperties>
</file>