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r>
        <w:t>Theranos Diffusion Agent Record</w:t>
      </w:r>
    </w:p>
    <w:p>
      <w:pPr>
        <w:jc w:val="center"/>
      </w:pPr>
      <w:r/>
      <w:r>
        <w:t>MASY1-GC 1800 | Assignment 5</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r>
              <w:t>Decision at the 2015–2016 expansion gate: pause broad patient testing until each claimed assay and the underlying platform pass independent verification. Retail service volume does not measure adoption of the proprietary analyzer.</w:t>
            </w:r>
          </w:p>
        </w:tc>
      </w:tr>
    </w:tbl>
    <w:p>
      <w:pPr>
        <w:pStyle w:val="Heading1"/>
      </w:pPr>
      <w:r>
        <w:t>A. Agent and Version</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053"/>
            <w:tcMar>
              <w:top w:w="75" w:type="dxa"/>
              <w:start w:w="90" w:type="dxa"/>
              <w:bottom w:w="75" w:type="dxa"/>
              <w:end w:w="90" w:type="dxa"/>
              <w:left w:w="95" w:type="dxa"/>
              <w:right w:w="95" w:type="dxa"/>
            </w:tcMar>
            <w:vAlign w:val="center"/>
            <w:shd w:fill="57068C"/>
          </w:tcPr>
          <w:p>
            <w:pPr>
              <w:spacing w:after="20"/>
            </w:pPr>
            <w:r>
              <w:rPr>
                <w:b/>
                <w:color w:val="FFFFFF"/>
                <w:sz w:val="17"/>
              </w:rPr>
              <w:t>Field</w:t>
            </w:r>
          </w:p>
        </w:tc>
        <w:tc>
          <w:tcPr>
            <w:tcW w:type="dxa" w:w="7402"/>
            <w:tcMar>
              <w:top w:w="75" w:type="dxa"/>
              <w:start w:w="90" w:type="dxa"/>
              <w:bottom w:w="75" w:type="dxa"/>
              <w:end w:w="90" w:type="dxa"/>
              <w:left w:w="95" w:type="dxa"/>
              <w:right w:w="95" w:type="dxa"/>
            </w:tcMar>
            <w:vAlign w:val="center"/>
            <w:shd w:fill="57068C"/>
          </w:tcPr>
          <w:p>
            <w:pPr>
              <w:spacing w:after="20"/>
            </w:pPr>
            <w:r>
              <w:rPr>
                <w:b/>
                <w:color w:val="FFFFFF"/>
                <w:sz w:val="17"/>
              </w:rPr>
              <w:t>Student record</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Student / team</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GitHub account: yicrry777</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Assignment / specialist agent</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Week 7, Assignment 5 | Emerging Technology Diffusion Agent | version 0.4-student</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Date</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October 24, 2026</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GitHub repository</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https://github.com/yicrry777/1800lab5</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Branch</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main (the only retained branch)</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Commit</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Tested candidate ae54379; merged e336a66; main at f2ea3de before report packaging</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Frozen scaffold version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MASY1800_ET_Agent_Scaffold_v1_0; frozen-core check passed</w:t>
            </w:r>
          </w:p>
        </w:tc>
      </w:tr>
    </w:tbl>
    <w:p>
      <w:pPr>
        <w:pStyle w:val="Heading1"/>
      </w:pPr>
      <w:r>
        <w:t>B. Specialist Purpose and Context</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053"/>
            <w:tcMar>
              <w:top w:w="75" w:type="dxa"/>
              <w:start w:w="90" w:type="dxa"/>
              <w:bottom w:w="75" w:type="dxa"/>
              <w:end w:w="90" w:type="dxa"/>
              <w:left w:w="95" w:type="dxa"/>
              <w:right w:w="95" w:type="dxa"/>
            </w:tcMar>
            <w:vAlign w:val="center"/>
            <w:shd w:fill="57068C"/>
          </w:tcPr>
          <w:p>
            <w:pPr>
              <w:spacing w:after="20"/>
            </w:pPr>
            <w:r>
              <w:rPr>
                <w:b/>
                <w:color w:val="FFFFFF"/>
                <w:sz w:val="17"/>
              </w:rPr>
              <w:t>Field</w:t>
            </w:r>
          </w:p>
        </w:tc>
        <w:tc>
          <w:tcPr>
            <w:tcW w:type="dxa" w:w="7402"/>
            <w:tcMar>
              <w:top w:w="75" w:type="dxa"/>
              <w:start w:w="90" w:type="dxa"/>
              <w:bottom w:w="75" w:type="dxa"/>
              <w:end w:w="90" w:type="dxa"/>
              <w:left w:w="95" w:type="dxa"/>
              <w:right w:w="95" w:type="dxa"/>
            </w:tcMar>
            <w:vAlign w:val="center"/>
            <w:shd w:fill="57068C"/>
          </w:tcPr>
          <w:p>
            <w:pPr>
              <w:spacing w:after="20"/>
            </w:pPr>
            <w:r>
              <w:rPr>
                <w:b/>
                <w:color w:val="FFFFFF"/>
                <w:sz w:val="17"/>
              </w:rPr>
              <w:t>Student record</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Governing analytical question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How far did the claimed platform diffuse, what accelerated or inhibited it, and what should Theranos do at the historical expansion gate?</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Emerging technology</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Theranos’s claimed proprietary finger-prick, micro-volume, multi-analyte platform (Edison/miniLab and Nanotainer).</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Intended application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Retail direct-access clinical blood testing from finger-prick samples using the claimed platform.</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Organization / industry</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Theranos, Inc. | U.S. clinical laboratory diagnostics and retail pharmacy; retrospective case.</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Adoption posture</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Aggressive innovator and supplier seeking rapid retail scale.</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Risk / consequence context</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Incorrect results could affect diagnosis or treatment. Assay validity, laboratory quality, device claims, partner reliance, and patient trust are consequential.</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Management question / time horizon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At the 2015–2016 gate, expand patient testing or hold for independent assay validation? Evidence covers 2013–2018; later findings are hindsight.</w:t>
            </w:r>
          </w:p>
        </w:tc>
      </w:tr>
    </w:tbl>
    <w:p>
      <w:pPr>
        <w:pStyle w:val="Heading1"/>
      </w:pPr>
      <w:r>
        <w:t>C. Three-Level Finding</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053"/>
            <w:tcMar>
              <w:top w:w="75" w:type="dxa"/>
              <w:start w:w="90" w:type="dxa"/>
              <w:bottom w:w="75" w:type="dxa"/>
              <w:end w:w="90" w:type="dxa"/>
              <w:left w:w="95" w:type="dxa"/>
              <w:right w:w="95" w:type="dxa"/>
            </w:tcMar>
            <w:vAlign w:val="center"/>
            <w:shd w:fill="57068C"/>
          </w:tcPr>
          <w:p>
            <w:pPr>
              <w:spacing w:after="20"/>
            </w:pPr>
            <w:r>
              <w:rPr>
                <w:b/>
                <w:color w:val="FFFFFF"/>
                <w:sz w:val="17"/>
              </w:rPr>
              <w:t>Field</w:t>
            </w:r>
          </w:p>
        </w:tc>
        <w:tc>
          <w:tcPr>
            <w:tcW w:type="dxa" w:w="7402"/>
            <w:tcMar>
              <w:top w:w="75" w:type="dxa"/>
              <w:start w:w="90" w:type="dxa"/>
              <w:bottom w:w="75" w:type="dxa"/>
              <w:end w:w="90" w:type="dxa"/>
              <w:left w:w="95" w:type="dxa"/>
              <w:right w:w="95" w:type="dxa"/>
            </w:tcMar>
            <w:vAlign w:val="center"/>
            <w:shd w:fill="57068C"/>
          </w:tcPr>
          <w:p>
            <w:pPr>
              <w:spacing w:after="20"/>
            </w:pPr>
            <w:r>
              <w:rPr>
                <w:b/>
                <w:color w:val="FFFFFF"/>
                <w:sz w:val="17"/>
              </w:rPr>
              <w:t>Student record</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ET generally</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No broad independent-laboratory adoption of the proprietary platform is established. A 2015 FDA decision concerned one HSV-1 IgG assay. Service sales and retail-center counts are different units from analyzer use. A national Rogers adopter category cannot be assigned [1, 3, 4].</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ET for this application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The service gained retail reach, but its proprietary analyzer diffusion remains unmeasured. Rogers: relative advantage was claimed, not broadly validated; compatibility required reliable assay performance and laboratory practice; complexity lay in sample handling and quality control; trialability was appropriate only in controlled nonclinical work; observability of actual analyzer use was poor [1–4].</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ET for this application in this organization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Walgreens access, publicity, and financing accelerated visibility and branded service availability. As supplier, Theranos still had to prove each clinical claim. Its aggressive posture did not substitute for independent evidence. The 2018 SEC allegation and later DOJ trial account strengthen this retrospective assessment [3, 5, 6].</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Bounded management implication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Pause broad clinical expansion at the 2015–2016 gate. Require independent, assay-specific accuracy and reproducibility testing, auditable analyzer provenance, quality remediation, and correction of affected results before any patient rollout. Theranos is defunct; this is a historical decision [2, 3, 6].</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Confidence / uncertainty</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High confidence in the cited decision, inspection, closure, Arizona service totals, and later official proceedings. Low confidence in numerical proprietary-platform penetration. Later findings must not be treated as facts known to managers in 2015.</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What evidence or condition would change the conclusion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Independent assay-by-assay performance data; a traceable record of which analyzer generated each result; verified quality corrections; applicable regulatory clearance; and partner audit. The reviewed record does not establish these broad gates.</w:t>
            </w:r>
          </w:p>
        </w:tc>
      </w:tr>
    </w:tbl>
    <w:p>
      <w:pPr>
        <w:pStyle w:val="Heading1"/>
      </w:pPr>
      <w:r>
        <w:t>D. Evidence and Testing</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053"/>
            <w:tcMar>
              <w:top w:w="75" w:type="dxa"/>
              <w:start w:w="90" w:type="dxa"/>
              <w:bottom w:w="75" w:type="dxa"/>
              <w:end w:w="90" w:type="dxa"/>
              <w:left w:w="95" w:type="dxa"/>
              <w:right w:w="95" w:type="dxa"/>
            </w:tcMar>
            <w:vAlign w:val="center"/>
            <w:shd w:fill="57068C"/>
          </w:tcPr>
          <w:p>
            <w:pPr>
              <w:spacing w:after="20"/>
            </w:pPr>
            <w:r>
              <w:rPr>
                <w:b/>
                <w:color w:val="FFFFFF"/>
                <w:sz w:val="17"/>
              </w:rPr>
              <w:t>Field</w:t>
            </w:r>
          </w:p>
        </w:tc>
        <w:tc>
          <w:tcPr>
            <w:tcW w:type="dxa" w:w="7402"/>
            <w:tcMar>
              <w:top w:w="75" w:type="dxa"/>
              <w:start w:w="90" w:type="dxa"/>
              <w:bottom w:w="75" w:type="dxa"/>
              <w:end w:w="90" w:type="dxa"/>
              <w:left w:w="95" w:type="dxa"/>
              <w:right w:w="95" w:type="dxa"/>
            </w:tcMar>
            <w:vAlign w:val="center"/>
            <w:shd w:fill="57068C"/>
          </w:tcPr>
          <w:p>
            <w:pPr>
              <w:spacing w:after="20"/>
            </w:pPr>
            <w:r>
              <w:rPr>
                <w:b/>
                <w:color w:val="FFFFFF"/>
                <w:sz w:val="17"/>
              </w:rPr>
              <w:t>Student record</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Most important evidence/source(s)</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Six dated original sources: FDA decision and Form 483 [1–2], Walgreens closure [3], Arizona Attorney General service figures [4], SEC civil allegations [5], and DOJ trial account [6]. Full citations and limits follow.</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Primary test - result</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The Theranos primary prompt packet was generated and its saved v0.4 JSON response passed the supplied validator. The bounded historical recommendation was to halt broad clinical expansion pending independent assay verification.</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Contrast test - what appropriately stayed stable</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Across Theranos, Walgreens, and a hypothetical independent laboratory, the general platform finding, application-level Rogers assessment, and six evidence records stayed constant. None equated service sales with proprietary-analyzer adoption.</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Contrast test - what appropriately changed</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The organizational action changed appropriately: Theranos must validate and remediate; Walgreens must withhold expansion, suspend affected service, and protect customers; an independent lab must reject patient use during procurement screening.</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Weakness/failure found</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An adversarial v0.3 diagnostic fixture claimed that roughly 1.5 million Arizona branded tests proved early-majority analyzer diffusion and that one FDA assay decision was broad clearance. The structural validator passed the fixture. It was deliberately written for diagnosis, not a spontaneous model response.</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Revision made and why</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Version 0.4 added source-date and source-type checks, separated service uptake from proprietary-device use, constrained FDA scope, separated 2015 knowledge from later hindsight, and barred patient rollout without independent validation.</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Remaining limitation / abstention condition</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There is no reliable denominator for independent use of the claimed multi-analyte platform. Abstain from national adopter-stage or penetration estimates and from unverified speed, cost, or accuracy advantage claims.</w:t>
            </w:r>
          </w:p>
        </w:tc>
      </w:tr>
    </w:tbl>
    <w:p>
      <w:pPr>
        <w:pStyle w:val="Heading1"/>
      </w:pPr>
      <w:r>
        <w:t>E. Independent Judgment and Handoff</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053"/>
            <w:tcMar>
              <w:top w:w="75" w:type="dxa"/>
              <w:start w:w="90" w:type="dxa"/>
              <w:bottom w:w="75" w:type="dxa"/>
              <w:end w:w="90" w:type="dxa"/>
              <w:left w:w="95" w:type="dxa"/>
              <w:right w:w="95" w:type="dxa"/>
            </w:tcMar>
            <w:vAlign w:val="center"/>
            <w:shd w:fill="57068C"/>
          </w:tcPr>
          <w:p>
            <w:pPr>
              <w:spacing w:after="20"/>
            </w:pPr>
            <w:r>
              <w:rPr>
                <w:b/>
                <w:color w:val="FFFFFF"/>
                <w:sz w:val="17"/>
              </w:rPr>
              <w:t>Field</w:t>
            </w:r>
          </w:p>
        </w:tc>
        <w:tc>
          <w:tcPr>
            <w:tcW w:type="dxa" w:w="7402"/>
            <w:tcMar>
              <w:top w:w="75" w:type="dxa"/>
              <w:start w:w="90" w:type="dxa"/>
              <w:bottom w:w="75" w:type="dxa"/>
              <w:end w:w="90" w:type="dxa"/>
              <w:left w:w="95" w:type="dxa"/>
              <w:right w:w="95" w:type="dxa"/>
            </w:tcMar>
            <w:vAlign w:val="center"/>
            <w:shd w:fill="57068C"/>
          </w:tcPr>
          <w:p>
            <w:pPr>
              <w:spacing w:after="20"/>
            </w:pPr>
            <w:r>
              <w:rPr>
                <w:b/>
                <w:color w:val="FFFFFF"/>
                <w:sz w:val="17"/>
              </w:rPr>
              <w:t>Student record</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Is the agent credible enough for team consideration? Why?</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Yes, for a bounded retrospective diffusion analysis. The agent keeps the technology and application constant, changes decisions by organizational role, and reaches a defensible no-scale timing judgment. It is not a clinical safety certification.</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Most important recommendation to the team</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Pass to the Adoption Agent a strict distinction between branded service reach and verified proprietary-platform use; the narrow scope of the FDA decision; and a no-patient-use gate without independent validation.</w:t>
            </w:r>
          </w:p>
        </w:tc>
      </w:tr>
      <w:tr>
        <w:trPr>
          <w:cantSplit/>
        </w:trPr>
        <w:tc>
          <w:tcPr>
            <w:tcW w:type="dxa" w:w="3053"/>
            <w:tcMar>
              <w:top w:w="75" w:type="dxa"/>
              <w:start w:w="90" w:type="dxa"/>
              <w:bottom w:w="75" w:type="dxa"/>
              <w:end w:w="90" w:type="dxa"/>
              <w:left w:w="95" w:type="dxa"/>
              <w:right w:w="95" w:type="dxa"/>
            </w:tcMar>
            <w:vAlign w:val="center"/>
          </w:tcPr>
          <w:p>
            <w:pPr>
              <w:spacing w:after="20"/>
            </w:pPr>
            <w:r>
              <w:rPr>
                <w:sz w:val="17"/>
              </w:rPr>
              <w:t>AI / verification note</w:t>
            </w:r>
          </w:p>
        </w:tc>
        <w:tc>
          <w:tcPr>
            <w:tcW w:type="dxa" w:w="7402"/>
            <w:tcMar>
              <w:top w:w="75" w:type="dxa"/>
              <w:start w:w="90" w:type="dxa"/>
              <w:bottom w:w="75" w:type="dxa"/>
              <w:end w:w="90" w:type="dxa"/>
              <w:left w:w="95" w:type="dxa"/>
              <w:right w:w="95" w:type="dxa"/>
            </w:tcMar>
            <w:vAlign w:val="center"/>
          </w:tcPr>
          <w:p>
            <w:pPr>
              <w:spacing w:before="40" w:after="40" w:line="259" w:lineRule="auto"/>
            </w:pPr>
            <w:r>
              <w:rPr>
                <w:rFonts w:ascii="Liberation Sans" w:hAnsi="Liberation Sans"/>
                <w:sz w:val="18"/>
              </w:rPr>
              <w:t>ChatGPT/Codex assisted with Rogers mapping, contrast cases, the adversarial fixture, revision, and saved responses. Consequential claims were checked against six original sources; civil allegations and criminal findings are distinguished. The prompt builder ran for all three cases, all three corrected JSON files passed validation, the contrast check passed, and frozen-core integrity passed. Saved responses were model-assisted in this session, not separate blinded API runs.</w:t>
            </w:r>
          </w:p>
        </w:tc>
      </w:tr>
    </w:tbl>
    <w:p>
      <w:pPr>
        <w:pStyle w:val="Heading1"/>
        <w:pageBreakBefore/>
      </w:pPr>
      <w:r>
        <w:t>Original Sources and Limits</w:t>
      </w:r>
    </w:p>
    <w:p>
      <w:pPr>
        <w:keepLines/>
        <w:spacing w:after="100"/>
      </w:pPr>
      <w:r>
        <w:t xml:space="preserve">1. FDA, HSV-1 IgG assay decision summary K143236 (July 2, 2015). One specified assay and intended use; no broad multi-analyte clearance. </w:t>
      </w:r>
      <w:hyperlink r:id="rId12">
        <w:r>
          <w:rPr>
            <w:color w:val="305787"/>
            <w:u w:val="single"/>
          </w:rPr>
          <w:t>FDA decision</w:t>
        </w:r>
      </w:hyperlink>
    </w:p>
    <w:p>
      <w:pPr>
        <w:keepLines/>
        <w:spacing w:after="100"/>
      </w:pPr>
      <w:r>
        <w:t xml:space="preserve">2. FDA, Form 483, Theranos Newark inspection (August 25–September 16, 2015). Nanotainer listing and complaint-handling observations; not a final agency compliance determination. </w:t>
      </w:r>
      <w:hyperlink r:id="rId13">
        <w:r>
          <w:rPr>
            <w:color w:val="305787"/>
            <w:u w:val="single"/>
          </w:rPr>
          <w:t>FDA Form 483</w:t>
        </w:r>
      </w:hyperlink>
    </w:p>
    <w:p>
      <w:pPr>
        <w:keepLines/>
        <w:spacing w:after="100"/>
      </w:pPr>
      <w:r>
        <w:t xml:space="preserve">3. Walgreens Boots Alliance, termination and closure notice (June 12–13, 2016). All 40 Arizona centers closed amid voided results and CMS concerns; center count describes service distribution. </w:t>
      </w:r>
      <w:hyperlink r:id="rId14">
        <w:r>
          <w:rPr>
            <w:color w:val="305787"/>
            <w:u w:val="single"/>
          </w:rPr>
          <w:t>Walgreens notice</w:t>
        </w:r>
      </w:hyperlink>
    </w:p>
    <w:p>
      <w:pPr>
        <w:keepLines/>
        <w:spacing w:after="100"/>
      </w:pPr>
      <w:r>
        <w:t xml:space="preserve">4. Arizona Attorney General, 2017 Annual Report, describing 2013–2016. About 1.5 million tests sold to more than 175,000 Arizonans; roughly 10% later voided or corrected. Transactions do not count proprietary analyzer runs. </w:t>
      </w:r>
      <w:hyperlink r:id="rId15">
        <w:r>
          <w:rPr>
            <w:color w:val="305787"/>
            <w:u w:val="single"/>
          </w:rPr>
          <w:t>Arizona report</w:t>
        </w:r>
      </w:hyperlink>
    </w:p>
    <w:p>
      <w:pPr>
        <w:keepLines/>
        <w:spacing w:after="100"/>
      </w:pPr>
      <w:r>
        <w:t xml:space="preserve">5. SEC, Litigation Release 24069 (March 19, 2018). Civil allegations concerning limited proprietary-analyzer use and reliance on third-party devices; Theranos and Holmes settled without admitting or denying. </w:t>
      </w:r>
      <w:hyperlink r:id="rId16">
        <w:r>
          <w:rPr>
            <w:color w:val="305787"/>
            <w:u w:val="single"/>
          </w:rPr>
          <w:t>SEC release</w:t>
        </w:r>
      </w:hyperlink>
    </w:p>
    <w:p>
      <w:pPr>
        <w:keepLines/>
        <w:spacing w:after="100"/>
      </w:pPr>
      <w:r>
        <w:t xml:space="preserve">6. DOJ, account of trial evidence and verdicts (December 7, 2022). Describes analyzer failures, voided tests, and Balwani conviction. Holmes was convicted on investor-fraud counts and acquitted on patient-related counts. Later hindsight. </w:t>
      </w:r>
      <w:hyperlink r:id="rId17">
        <w:r>
          <w:rPr>
            <w:color w:val="305787"/>
            <w:u w:val="single"/>
          </w:rPr>
          <w:t>DOJ account</w:t>
        </w:r>
      </w:hyperlink>
    </w:p>
    <w:p>
      <w:pPr>
        <w:pStyle w:val="Heading1"/>
      </w:pPr>
      <w:r>
        <w:t>Actual Testing and Revision</w:t>
      </w:r>
    </w:p>
    <w:p>
      <w:pPr>
        <w:keepLines/>
        <w:spacing w:after="120"/>
      </w:pPr>
      <w:r>
        <w:t>The frozen scaffold was not edited. The supplied prompt builder was run separately for the Theranos primary case, the Walgreens contrast, and the independent-lab contrast. The three corrected v0.4 response files each returned VALIDATION PASSED. The contrast check returned “THERANOS CONTRAST PASSED: 3 contexts; evidence stable; decisions differ; overclaim rejected.” The frozen-core check returned “FROZEN CORE INTACT.”</w:t>
      </w:r>
    </w:p>
    <w:p>
      <w:pPr>
        <w:keepLines/>
        <w:spacing w:after="120"/>
      </w:pPr>
      <w:r>
        <w:t>An earlier temporary response-writing helper failed on an apostrophe and left stale output for a validation attempt. The helper was corrected and rerun; only the successful rerun on the corrected files supports the reported v0.4 result. Structural validation alone had also passed the deliberately flawed v0.3 fixture, which prompted the substantive instruction revision.</w:t>
      </w:r>
    </w:p>
    <w:p>
      <w:pPr>
        <w:keepLines/>
        <w:spacing w:after="120"/>
      </w:pPr>
      <w:r>
        <w:t>Repository: github.com/yicrry777/1800lab5. The full machine-readable cases, saved outputs, specialist instructions, test script, and evidence record are in agents/diffusion_agent/. The source record identifies what each original source can and cannot establish.</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r>
    <w:r>
      <w:t>Theranos Diffusion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www.accessdata.fda.gov/cdrh_docs/reviews/k143236.pdf" TargetMode="External"/><Relationship Id="rId13" Type="http://schemas.openxmlformats.org/officeDocument/2006/relationships/hyperlink" Target="https://www.fda.gov/files/about%20fda/published/Theranos--Inc.--Newark--CA-483-Issued-09-16-2015.pdf" TargetMode="External"/><Relationship Id="rId14" Type="http://schemas.openxmlformats.org/officeDocument/2006/relationships/hyperlink" Target="https://www.walgreensbootsalliance.com/news-media/press-releases/2016/walgreens-terminates-relationship-with-theranos-will-be-closing-operations-at-all-40-theranos-wellness-centers-in-arizona" TargetMode="External"/><Relationship Id="rId15" Type="http://schemas.openxmlformats.org/officeDocument/2006/relationships/hyperlink" Target="https://www.azag.gov/sites/default/files/publications/2024-10/2017AnnualReport.pdf" TargetMode="External"/><Relationship Id="rId16" Type="http://schemas.openxmlformats.org/officeDocument/2006/relationships/hyperlink" Target="https://www.sec.gov/enforcement-litigation/litigation-releases/lr-24069" TargetMode="External"/><Relationship Id="rId17" Type="http://schemas.openxmlformats.org/officeDocument/2006/relationships/hyperlink" Target="https://www.justice.gov/usao-ndca/pr/theranos-president-sentenced-more-12-years-fraud-jeopardized-patient-health-and-bilk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Theranos Diffusion Agent Record</dc:title>
  <dc:subject>MASY1-GC 1800 Assignment 5</dc:subject>
  <dc:creator>Andres Fortino</dc:creator>
  <cp:keywords>Theranos diffusion Rogers emerging technology</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