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color w:val="57068C"/>
          <w:sz w:val="28"/>
        </w:rPr>
        <w:t>EMERGING TECHNOLOGIES</w:t>
      </w:r>
    </w:p>
    <w:p>
      <w:pPr>
        <w:pStyle w:val="Title"/>
        <w:jc w:val="center"/>
      </w:pPr>
      <w:r/>
      <w:r>
        <w:t>Theranos Diffusion Agent Record</w:t>
      </w:r>
    </w:p>
    <w:p>
      <w:pPr>
        <w:jc w:val="center"/>
      </w:pPr>
      <w:r/>
      <w:r>
        <w:t>MASY1-GC 1800 | Assignment 5</w:t>
      </w:r>
    </w:p>
    <w:tbl>
      <w:tblPr>
        <w:tblW w:type="auto" w:w="0"/>
        <w:tblLook w:firstColumn="1" w:firstRow="1" w:lastColumn="0" w:lastRow="0" w:noHBand="0" w:noVBand="1" w:val="04A0"/>
      </w:tblPr>
      <w:tblGrid>
        <w:gridCol w:w="10454"/>
      </w:tblGrid>
      <w:tr>
        <w:tc>
          <w:tcPr>
            <w:tcW w:type="dxa" w:w="10454"/>
            <w:shd w:fill="F3EDF7"/>
            <w:tcMar>
              <w:top w:w="90" w:type="dxa"/>
              <w:start w:w="120" w:type="dxa"/>
              <w:bottom w:w="90" w:type="dxa"/>
              <w:end w:w="120" w:type="dxa"/>
            </w:tcMar>
          </w:tcPr>
          <w:p>
            <w:pPr>
              <w:pStyle w:val="Callout"/>
            </w:pPr>
            <w:r/>
            <w:r>
              <w:t>Decision at the 2015–2016 expansion gate: pause broad patient testing until each claimed assay and the underlying platform pass independent verification. Retail service volume does not measure adoption of the proprietary analyzer.</w:t>
            </w:r>
          </w:p>
        </w:tc>
      </w:tr>
    </w:tbl>
    <w:p>
      <w:pPr>
        <w:pStyle w:val="Heading1"/>
      </w:pPr>
      <w:r>
        <w:t>A. Agent and Version</w:t>
      </w:r>
    </w:p>
    <w:tbl>
      <w:tblPr>
        <w:tblStyle w:val="TableGrid"/>
        <w:tblW w:type="auto" w:w="0"/>
        <w:jc w:val="center"/>
        <w:tblLayout w:type="fixed"/>
        <w:tblLook w:firstColumn="1" w:firstRow="1" w:lastColumn="0" w:lastRow="0" w:noHBand="0" w:noVBand="1" w:val="04A0"/>
      </w:tblPr>
      <w:tblGrid>
        <w:gridCol w:w="5227"/>
        <w:gridCol w:w="5227"/>
      </w:tblGrid>
      <w:tr>
        <w:trPr>
          <w:tblHeader w:val="true"/>
          <w:cantSplit/>
        </w:trPr>
        <w:tc>
          <w:tcPr>
            <w:tcW w:type="dxa" w:w="3053"/>
            <w:tcMar>
              <w:top w:w="75" w:type="dxa"/>
              <w:start w:w="90" w:type="dxa"/>
              <w:bottom w:w="75" w:type="dxa"/>
              <w:end w:w="90" w:type="dxa"/>
              <w:left w:w="95" w:type="dxa"/>
              <w:right w:w="95" w:type="dxa"/>
            </w:tcMar>
            <w:vAlign w:val="center"/>
            <w:shd w:fill="57068C"/>
          </w:tcPr>
          <w:p>
            <w:pPr>
              <w:spacing w:after="20"/>
            </w:pPr>
            <w:r>
              <w:rPr>
                <w:b/>
                <w:color w:val="FFFFFF"/>
                <w:sz w:val="17"/>
              </w:rPr>
              <w:t>Field</w:t>
            </w:r>
          </w:p>
        </w:tc>
        <w:tc>
          <w:tcPr>
            <w:tcW w:type="dxa" w:w="7402"/>
            <w:tcMar>
              <w:top w:w="75" w:type="dxa"/>
              <w:start w:w="90" w:type="dxa"/>
              <w:bottom w:w="75" w:type="dxa"/>
              <w:end w:w="90" w:type="dxa"/>
              <w:left w:w="95" w:type="dxa"/>
              <w:right w:w="95" w:type="dxa"/>
            </w:tcMar>
            <w:vAlign w:val="center"/>
            <w:shd w:fill="57068C"/>
          </w:tcPr>
          <w:p>
            <w:pPr>
              <w:spacing w:after="20"/>
            </w:pPr>
            <w:r>
              <w:rPr>
                <w:b/>
                <w:color w:val="FFFFFF"/>
                <w:sz w:val="17"/>
              </w:rPr>
              <w:t>Student record</w:t>
            </w:r>
          </w:p>
        </w:tc>
      </w:tr>
      <w:tr>
        <w:trPr>
          <w:cantSplit/>
        </w:trPr>
        <w:tc>
          <w:tcPr>
            <w:tcW w:type="dxa" w:w="3053"/>
            <w:tcMar>
              <w:top w:w="75" w:type="dxa"/>
              <w:start w:w="90" w:type="dxa"/>
              <w:bottom w:w="75" w:type="dxa"/>
              <w:end w:w="90" w:type="dxa"/>
              <w:left w:w="95" w:type="dxa"/>
              <w:right w:w="95" w:type="dxa"/>
            </w:tcMar>
            <w:vAlign w:val="center"/>
          </w:tcPr>
          <w:p>
            <w:pPr>
              <w:spacing w:after="20"/>
            </w:pPr>
            <w:r>
              <w:rPr>
                <w:sz w:val="17"/>
              </w:rPr>
              <w:t>Student / team</w:t>
            </w:r>
          </w:p>
        </w:tc>
        <w:tc>
          <w:tcPr>
            <w:tcW w:type="dxa" w:w="7402"/>
            <w:tcMar>
              <w:top w:w="75" w:type="dxa"/>
              <w:start w:w="90" w:type="dxa"/>
              <w:bottom w:w="75" w:type="dxa"/>
              <w:end w:w="90" w:type="dxa"/>
              <w:left w:w="95" w:type="dxa"/>
              <w:right w:w="95" w:type="dxa"/>
            </w:tcMar>
            <w:vAlign w:val="center"/>
          </w:tcPr>
          <w:p>
            <w:pPr>
              <w:spacing w:before="40" w:after="40" w:line="259" w:lineRule="auto"/>
            </w:pPr>
            <w:r>
              <w:rPr>
                <w:rFonts w:ascii="Liberation Sans" w:hAnsi="Liberation Sans"/>
                <w:sz w:val="18"/>
              </w:rPr>
              <w:t>Shuoying Wang</w:t>
            </w:r>
          </w:p>
        </w:tc>
      </w:tr>
      <w:tr>
        <w:trPr>
          <w:cantSplit/>
        </w:trPr>
        <w:tc>
          <w:tcPr>
            <w:tcW w:type="dxa" w:w="3053"/>
            <w:tcMar>
              <w:top w:w="75" w:type="dxa"/>
              <w:start w:w="90" w:type="dxa"/>
              <w:bottom w:w="75" w:type="dxa"/>
              <w:end w:w="90" w:type="dxa"/>
              <w:left w:w="95" w:type="dxa"/>
              <w:right w:w="95" w:type="dxa"/>
            </w:tcMar>
            <w:vAlign w:val="center"/>
          </w:tcPr>
          <w:p>
            <w:pPr>
              <w:spacing w:after="20"/>
            </w:pPr>
            <w:r>
              <w:rPr>
                <w:sz w:val="17"/>
              </w:rPr>
              <w:t>Assignment / specialist agent</w:t>
            </w:r>
          </w:p>
        </w:tc>
        <w:tc>
          <w:tcPr>
            <w:tcW w:type="dxa" w:w="7402"/>
            <w:tcMar>
              <w:top w:w="75" w:type="dxa"/>
              <w:start w:w="90" w:type="dxa"/>
              <w:bottom w:w="75" w:type="dxa"/>
              <w:end w:w="90" w:type="dxa"/>
              <w:left w:w="95" w:type="dxa"/>
              <w:right w:w="95" w:type="dxa"/>
            </w:tcMar>
            <w:vAlign w:val="center"/>
          </w:tcPr>
          <w:p>
            <w:pPr>
              <w:spacing w:before="40" w:after="40" w:line="259" w:lineRule="auto"/>
            </w:pPr>
            <w:r>
              <w:rPr>
                <w:rFonts w:ascii="Liberation Sans" w:hAnsi="Liberation Sans"/>
                <w:sz w:val="18"/>
              </w:rPr>
              <w:t>Week 7, Assignment 5 | Emerging Technology Diffusion Agent | version 0.4-student</w:t>
            </w:r>
          </w:p>
        </w:tc>
      </w:tr>
      <w:tr>
        <w:trPr>
          <w:cantSplit/>
        </w:trPr>
        <w:tc>
          <w:tcPr>
            <w:tcW w:type="dxa" w:w="3053"/>
            <w:tcMar>
              <w:top w:w="75" w:type="dxa"/>
              <w:start w:w="90" w:type="dxa"/>
              <w:bottom w:w="75" w:type="dxa"/>
              <w:end w:w="90" w:type="dxa"/>
              <w:left w:w="95" w:type="dxa"/>
              <w:right w:w="95" w:type="dxa"/>
            </w:tcMar>
            <w:vAlign w:val="center"/>
          </w:tcPr>
          <w:p>
            <w:pPr>
              <w:spacing w:after="20"/>
            </w:pPr>
            <w:r>
              <w:rPr>
                <w:sz w:val="17"/>
              </w:rPr>
              <w:t>Date</w:t>
            </w:r>
          </w:p>
        </w:tc>
        <w:tc>
          <w:tcPr>
            <w:tcW w:type="dxa" w:w="7402"/>
            <w:tcMar>
              <w:top w:w="75" w:type="dxa"/>
              <w:start w:w="90" w:type="dxa"/>
              <w:bottom w:w="75" w:type="dxa"/>
              <w:end w:w="90" w:type="dxa"/>
              <w:left w:w="95" w:type="dxa"/>
              <w:right w:w="95" w:type="dxa"/>
            </w:tcMar>
            <w:vAlign w:val="center"/>
          </w:tcPr>
          <w:p>
            <w:pPr>
              <w:spacing w:before="40" w:after="40" w:line="259" w:lineRule="auto"/>
            </w:pPr>
            <w:r>
              <w:rPr>
                <w:rFonts w:ascii="Liberation Sans" w:hAnsi="Liberation Sans"/>
                <w:sz w:val="18"/>
              </w:rPr>
              <w:t>October 24, 2026</w:t>
            </w:r>
          </w:p>
        </w:tc>
      </w:tr>
      <w:tr>
        <w:trPr>
          <w:cantSplit/>
        </w:trPr>
        <w:tc>
          <w:tcPr>
            <w:tcW w:type="dxa" w:w="3053"/>
            <w:tcMar>
              <w:top w:w="75" w:type="dxa"/>
              <w:start w:w="90" w:type="dxa"/>
              <w:bottom w:w="75" w:type="dxa"/>
              <w:end w:w="90" w:type="dxa"/>
              <w:left w:w="95" w:type="dxa"/>
              <w:right w:w="95" w:type="dxa"/>
            </w:tcMar>
            <w:vAlign w:val="center"/>
          </w:tcPr>
          <w:p>
            <w:pPr>
              <w:spacing w:after="20"/>
            </w:pPr>
            <w:r>
              <w:rPr>
                <w:sz w:val="17"/>
              </w:rPr>
              <w:t>GitHub repository</w:t>
            </w:r>
          </w:p>
        </w:tc>
        <w:tc>
          <w:tcPr>
            <w:tcW w:type="dxa" w:w="7402"/>
            <w:tcMar>
              <w:top w:w="75" w:type="dxa"/>
              <w:start w:w="90" w:type="dxa"/>
              <w:bottom w:w="75" w:type="dxa"/>
              <w:end w:w="90" w:type="dxa"/>
              <w:left w:w="95" w:type="dxa"/>
              <w:right w:w="95" w:type="dxa"/>
            </w:tcMar>
            <w:vAlign w:val="center"/>
          </w:tcPr>
          <w:p>
            <w:pPr>
              <w:spacing w:before="40" w:after="40" w:line="259" w:lineRule="auto"/>
            </w:pPr>
            <w:r>
              <w:rPr>
                <w:rFonts w:ascii="Liberation Sans" w:hAnsi="Liberation Sans"/>
                <w:sz w:val="18"/>
              </w:rPr>
              <w:t>https://github.com/yicrry777/1800lab5</w:t>
            </w:r>
          </w:p>
        </w:tc>
      </w:tr>
      <w:tr>
        <w:trPr>
          <w:cantSplit/>
        </w:trPr>
        <w:tc>
          <w:tcPr>
            <w:tcW w:type="dxa" w:w="3053"/>
            <w:tcMar>
              <w:top w:w="75" w:type="dxa"/>
              <w:start w:w="90" w:type="dxa"/>
              <w:bottom w:w="75" w:type="dxa"/>
              <w:end w:w="90" w:type="dxa"/>
              <w:left w:w="95" w:type="dxa"/>
              <w:right w:w="95" w:type="dxa"/>
            </w:tcMar>
            <w:vAlign w:val="center"/>
          </w:tcPr>
          <w:p>
            <w:pPr>
              <w:spacing w:after="20"/>
            </w:pPr>
            <w:r>
              <w:rPr>
                <w:sz w:val="17"/>
              </w:rPr>
              <w:t>Branch</w:t>
            </w:r>
          </w:p>
        </w:tc>
        <w:tc>
          <w:tcPr>
            <w:tcW w:type="dxa" w:w="7402"/>
            <w:tcMar>
              <w:top w:w="75" w:type="dxa"/>
              <w:start w:w="90" w:type="dxa"/>
              <w:bottom w:w="75" w:type="dxa"/>
              <w:end w:w="90" w:type="dxa"/>
              <w:left w:w="95" w:type="dxa"/>
              <w:right w:w="95" w:type="dxa"/>
            </w:tcMar>
            <w:vAlign w:val="center"/>
          </w:tcPr>
          <w:p>
            <w:pPr>
              <w:spacing w:before="40" w:after="40" w:line="259" w:lineRule="auto"/>
            </w:pPr>
            <w:r>
              <w:rPr>
                <w:rFonts w:ascii="Liberation Sans" w:hAnsi="Liberation Sans"/>
                <w:sz w:val="18"/>
              </w:rPr>
              <w:t>main (the only retained branch)</w:t>
            </w:r>
          </w:p>
        </w:tc>
      </w:tr>
      <w:tr>
        <w:trPr>
          <w:cantSplit/>
        </w:trPr>
        <w:tc>
          <w:tcPr>
            <w:tcW w:type="dxa" w:w="3053"/>
            <w:tcMar>
              <w:top w:w="75" w:type="dxa"/>
              <w:start w:w="90" w:type="dxa"/>
              <w:bottom w:w="75" w:type="dxa"/>
              <w:end w:w="90" w:type="dxa"/>
              <w:left w:w="95" w:type="dxa"/>
              <w:right w:w="95" w:type="dxa"/>
            </w:tcMar>
            <w:vAlign w:val="center"/>
          </w:tcPr>
          <w:p>
            <w:pPr>
              <w:spacing w:after="20"/>
            </w:pPr>
            <w:r>
              <w:rPr>
                <w:sz w:val="17"/>
              </w:rPr>
              <w:t>Commit</w:t>
            </w:r>
          </w:p>
        </w:tc>
        <w:tc>
          <w:tcPr>
            <w:tcW w:type="dxa" w:w="7402"/>
            <w:tcMar>
              <w:top w:w="75" w:type="dxa"/>
              <w:start w:w="90" w:type="dxa"/>
              <w:bottom w:w="75" w:type="dxa"/>
              <w:end w:w="90" w:type="dxa"/>
              <w:left w:w="95" w:type="dxa"/>
              <w:right w:w="95" w:type="dxa"/>
            </w:tcMar>
            <w:vAlign w:val="center"/>
          </w:tcPr>
          <w:p>
            <w:pPr>
              <w:spacing w:before="40" w:after="40" w:line="259" w:lineRule="auto"/>
            </w:pPr>
            <w:r>
              <w:rPr>
                <w:rFonts w:ascii="Liberation Sans" w:hAnsi="Liberation Sans"/>
                <w:sz w:val="18"/>
              </w:rPr>
              <w:t>Tested candidate ae54379; merged e336a66; main at f2ea3de before report packaging</w:t>
            </w:r>
          </w:p>
        </w:tc>
      </w:tr>
      <w:tr>
        <w:trPr>
          <w:cantSplit/>
        </w:trPr>
        <w:tc>
          <w:tcPr>
            <w:tcW w:type="dxa" w:w="3053"/>
            <w:tcMar>
              <w:top w:w="75" w:type="dxa"/>
              <w:start w:w="90" w:type="dxa"/>
              <w:bottom w:w="75" w:type="dxa"/>
              <w:end w:w="90" w:type="dxa"/>
              <w:left w:w="95" w:type="dxa"/>
              <w:right w:w="95" w:type="dxa"/>
            </w:tcMar>
            <w:vAlign w:val="center"/>
          </w:tcPr>
          <w:p>
            <w:pPr>
              <w:spacing w:after="20"/>
            </w:pPr>
            <w:r>
              <w:rPr>
                <w:sz w:val="17"/>
              </w:rPr>
              <w:t>Frozen scaffold version</w:t>
            </w:r>
          </w:p>
        </w:tc>
        <w:tc>
          <w:tcPr>
            <w:tcW w:type="dxa" w:w="7402"/>
            <w:tcMar>
              <w:top w:w="75" w:type="dxa"/>
              <w:start w:w="90" w:type="dxa"/>
              <w:bottom w:w="75" w:type="dxa"/>
              <w:end w:w="90" w:type="dxa"/>
              <w:left w:w="95" w:type="dxa"/>
              <w:right w:w="95" w:type="dxa"/>
            </w:tcMar>
            <w:vAlign w:val="center"/>
          </w:tcPr>
          <w:p>
            <w:pPr>
              <w:spacing w:before="40" w:after="40" w:line="259" w:lineRule="auto"/>
            </w:pPr>
            <w:r>
              <w:rPr>
                <w:rFonts w:ascii="Liberation Sans" w:hAnsi="Liberation Sans"/>
                <w:sz w:val="18"/>
              </w:rPr>
              <w:t>MASY1800_ET_Agent_Scaffold_v1_0; frozen-core check passed</w:t>
            </w:r>
          </w:p>
        </w:tc>
      </w:tr>
    </w:tbl>
    <w:p>
      <w:pPr>
        <w:pStyle w:val="Heading1"/>
      </w:pPr>
      <w:r>
        <w:t>B. Specialist Purpose and Context</w:t>
      </w:r>
    </w:p>
    <w:tbl>
      <w:tblPr>
        <w:tblStyle w:val="TableGrid"/>
        <w:tblW w:type="auto" w:w="0"/>
        <w:jc w:val="center"/>
        <w:tblLayout w:type="fixed"/>
        <w:tblLook w:firstColumn="1" w:firstRow="1" w:lastColumn="0" w:lastRow="0" w:noHBand="0" w:noVBand="1" w:val="04A0"/>
      </w:tblPr>
      <w:tblGrid>
        <w:gridCol w:w="5227"/>
        <w:gridCol w:w="5227"/>
      </w:tblGrid>
      <w:tr>
        <w:trPr>
          <w:tblHeader w:val="true"/>
          <w:cantSplit/>
        </w:trPr>
        <w:tc>
          <w:tcPr>
            <w:tcW w:type="dxa" w:w="3053"/>
            <w:tcMar>
              <w:top w:w="75" w:type="dxa"/>
              <w:start w:w="90" w:type="dxa"/>
              <w:bottom w:w="75" w:type="dxa"/>
              <w:end w:w="90" w:type="dxa"/>
              <w:left w:w="95" w:type="dxa"/>
              <w:right w:w="95" w:type="dxa"/>
            </w:tcMar>
            <w:vAlign w:val="center"/>
            <w:shd w:fill="57068C"/>
          </w:tcPr>
          <w:p>
            <w:pPr>
              <w:spacing w:after="20"/>
            </w:pPr>
            <w:r>
              <w:rPr>
                <w:b/>
                <w:color w:val="FFFFFF"/>
                <w:sz w:val="17"/>
              </w:rPr>
              <w:t>Field</w:t>
            </w:r>
          </w:p>
        </w:tc>
        <w:tc>
          <w:tcPr>
            <w:tcW w:type="dxa" w:w="7402"/>
            <w:tcMar>
              <w:top w:w="75" w:type="dxa"/>
              <w:start w:w="90" w:type="dxa"/>
              <w:bottom w:w="75" w:type="dxa"/>
              <w:end w:w="90" w:type="dxa"/>
              <w:left w:w="95" w:type="dxa"/>
              <w:right w:w="95" w:type="dxa"/>
            </w:tcMar>
            <w:vAlign w:val="center"/>
            <w:shd w:fill="57068C"/>
          </w:tcPr>
          <w:p>
            <w:pPr>
              <w:spacing w:after="20"/>
            </w:pPr>
            <w:r>
              <w:rPr>
                <w:b/>
                <w:color w:val="FFFFFF"/>
                <w:sz w:val="17"/>
              </w:rPr>
              <w:t>Student record</w:t>
            </w:r>
          </w:p>
        </w:tc>
      </w:tr>
      <w:tr>
        <w:trPr>
          <w:cantSplit/>
        </w:trPr>
        <w:tc>
          <w:tcPr>
            <w:tcW w:type="dxa" w:w="3053"/>
            <w:tcMar>
              <w:top w:w="75" w:type="dxa"/>
              <w:start w:w="90" w:type="dxa"/>
              <w:bottom w:w="75" w:type="dxa"/>
              <w:end w:w="90" w:type="dxa"/>
              <w:left w:w="95" w:type="dxa"/>
              <w:right w:w="95" w:type="dxa"/>
            </w:tcMar>
            <w:vAlign w:val="center"/>
          </w:tcPr>
          <w:p>
            <w:pPr>
              <w:spacing w:after="20"/>
            </w:pPr>
            <w:r>
              <w:rPr>
                <w:sz w:val="17"/>
              </w:rPr>
              <w:t>Governing analytical question</w:t>
            </w:r>
          </w:p>
        </w:tc>
        <w:tc>
          <w:tcPr>
            <w:tcW w:type="dxa" w:w="7402"/>
            <w:tcMar>
              <w:top w:w="75" w:type="dxa"/>
              <w:start w:w="90" w:type="dxa"/>
              <w:bottom w:w="75" w:type="dxa"/>
              <w:end w:w="90" w:type="dxa"/>
              <w:left w:w="95" w:type="dxa"/>
              <w:right w:w="95" w:type="dxa"/>
            </w:tcMar>
            <w:vAlign w:val="center"/>
          </w:tcPr>
          <w:p>
            <w:pPr>
              <w:spacing w:before="40" w:after="40" w:line="259" w:lineRule="auto"/>
            </w:pPr>
            <w:r>
              <w:rPr>
                <w:rFonts w:ascii="Liberation Sans" w:hAnsi="Liberation Sans"/>
                <w:sz w:val="18"/>
              </w:rPr>
              <w:t>How far did the claimed platform diffuse, what accelerated or inhibited it, and what should Theranos do at the historical expansion gate?</w:t>
            </w:r>
          </w:p>
        </w:tc>
      </w:tr>
      <w:tr>
        <w:trPr>
          <w:cantSplit/>
        </w:trPr>
        <w:tc>
          <w:tcPr>
            <w:tcW w:type="dxa" w:w="3053"/>
            <w:tcMar>
              <w:top w:w="75" w:type="dxa"/>
              <w:start w:w="90" w:type="dxa"/>
              <w:bottom w:w="75" w:type="dxa"/>
              <w:end w:w="90" w:type="dxa"/>
              <w:left w:w="95" w:type="dxa"/>
              <w:right w:w="95" w:type="dxa"/>
            </w:tcMar>
            <w:vAlign w:val="center"/>
          </w:tcPr>
          <w:p>
            <w:pPr>
              <w:spacing w:after="20"/>
            </w:pPr>
            <w:r>
              <w:rPr>
                <w:sz w:val="17"/>
              </w:rPr>
              <w:t>Emerging technology</w:t>
            </w:r>
          </w:p>
        </w:tc>
        <w:tc>
          <w:tcPr>
            <w:tcW w:type="dxa" w:w="7402"/>
            <w:tcMar>
              <w:top w:w="75" w:type="dxa"/>
              <w:start w:w="90" w:type="dxa"/>
              <w:bottom w:w="75" w:type="dxa"/>
              <w:end w:w="90" w:type="dxa"/>
              <w:left w:w="95" w:type="dxa"/>
              <w:right w:w="95" w:type="dxa"/>
            </w:tcMar>
            <w:vAlign w:val="center"/>
          </w:tcPr>
          <w:p>
            <w:pPr>
              <w:spacing w:before="40" w:after="40" w:line="259" w:lineRule="auto"/>
            </w:pPr>
            <w:r>
              <w:rPr>
                <w:rFonts w:ascii="Liberation Sans" w:hAnsi="Liberation Sans"/>
                <w:sz w:val="18"/>
              </w:rPr>
              <w:t>Theranos’s claimed proprietary finger-prick, micro-volume, multi-analyte platform (Edison/miniLab and Nanotainer).</w:t>
            </w:r>
          </w:p>
        </w:tc>
      </w:tr>
      <w:tr>
        <w:trPr>
          <w:cantSplit/>
        </w:trPr>
        <w:tc>
          <w:tcPr>
            <w:tcW w:type="dxa" w:w="3053"/>
            <w:tcMar>
              <w:top w:w="75" w:type="dxa"/>
              <w:start w:w="90" w:type="dxa"/>
              <w:bottom w:w="75" w:type="dxa"/>
              <w:end w:w="90" w:type="dxa"/>
              <w:left w:w="95" w:type="dxa"/>
              <w:right w:w="95" w:type="dxa"/>
            </w:tcMar>
            <w:vAlign w:val="center"/>
          </w:tcPr>
          <w:p>
            <w:pPr>
              <w:spacing w:after="20"/>
            </w:pPr>
            <w:r>
              <w:rPr>
                <w:sz w:val="17"/>
              </w:rPr>
              <w:t>Intended application</w:t>
            </w:r>
          </w:p>
        </w:tc>
        <w:tc>
          <w:tcPr>
            <w:tcW w:type="dxa" w:w="7402"/>
            <w:tcMar>
              <w:top w:w="75" w:type="dxa"/>
              <w:start w:w="90" w:type="dxa"/>
              <w:bottom w:w="75" w:type="dxa"/>
              <w:end w:w="90" w:type="dxa"/>
              <w:left w:w="95" w:type="dxa"/>
              <w:right w:w="95" w:type="dxa"/>
            </w:tcMar>
            <w:vAlign w:val="center"/>
          </w:tcPr>
          <w:p>
            <w:pPr>
              <w:spacing w:before="40" w:after="40" w:line="259" w:lineRule="auto"/>
            </w:pPr>
            <w:r>
              <w:rPr>
                <w:rFonts w:ascii="Liberation Sans" w:hAnsi="Liberation Sans"/>
                <w:sz w:val="18"/>
              </w:rPr>
              <w:t>Retail direct-access clinical blood testing from finger-prick samples using the claimed platform.</w:t>
            </w:r>
          </w:p>
        </w:tc>
      </w:tr>
      <w:tr>
        <w:trPr>
          <w:cantSplit/>
        </w:trPr>
        <w:tc>
          <w:tcPr>
            <w:tcW w:type="dxa" w:w="3053"/>
            <w:tcMar>
              <w:top w:w="75" w:type="dxa"/>
              <w:start w:w="90" w:type="dxa"/>
              <w:bottom w:w="75" w:type="dxa"/>
              <w:end w:w="90" w:type="dxa"/>
              <w:left w:w="95" w:type="dxa"/>
              <w:right w:w="95" w:type="dxa"/>
            </w:tcMar>
            <w:vAlign w:val="center"/>
          </w:tcPr>
          <w:p>
            <w:pPr>
              <w:spacing w:after="20"/>
            </w:pPr>
            <w:r>
              <w:rPr>
                <w:sz w:val="17"/>
              </w:rPr>
              <w:t>Organization / industry</w:t>
            </w:r>
          </w:p>
        </w:tc>
        <w:tc>
          <w:tcPr>
            <w:tcW w:type="dxa" w:w="7402"/>
            <w:tcMar>
              <w:top w:w="75" w:type="dxa"/>
              <w:start w:w="90" w:type="dxa"/>
              <w:bottom w:w="75" w:type="dxa"/>
              <w:end w:w="90" w:type="dxa"/>
              <w:left w:w="95" w:type="dxa"/>
              <w:right w:w="95" w:type="dxa"/>
            </w:tcMar>
            <w:vAlign w:val="center"/>
          </w:tcPr>
          <w:p>
            <w:pPr>
              <w:spacing w:before="40" w:after="40" w:line="259" w:lineRule="auto"/>
            </w:pPr>
            <w:r>
              <w:rPr>
                <w:rFonts w:ascii="Liberation Sans" w:hAnsi="Liberation Sans"/>
                <w:sz w:val="18"/>
              </w:rPr>
              <w:t>Theranos, Inc. | U.S. clinical laboratory diagnostics and retail pharmacy; retrospective case.</w:t>
            </w:r>
          </w:p>
        </w:tc>
      </w:tr>
      <w:tr>
        <w:trPr>
          <w:cantSplit/>
        </w:trPr>
        <w:tc>
          <w:tcPr>
            <w:tcW w:type="dxa" w:w="3053"/>
            <w:tcMar>
              <w:top w:w="75" w:type="dxa"/>
              <w:start w:w="90" w:type="dxa"/>
              <w:bottom w:w="75" w:type="dxa"/>
              <w:end w:w="90" w:type="dxa"/>
              <w:left w:w="95" w:type="dxa"/>
              <w:right w:w="95" w:type="dxa"/>
            </w:tcMar>
            <w:vAlign w:val="center"/>
          </w:tcPr>
          <w:p>
            <w:pPr>
              <w:spacing w:after="20"/>
            </w:pPr>
            <w:r>
              <w:rPr>
                <w:sz w:val="17"/>
              </w:rPr>
              <w:t>Adoption posture</w:t>
            </w:r>
          </w:p>
        </w:tc>
        <w:tc>
          <w:tcPr>
            <w:tcW w:type="dxa" w:w="7402"/>
            <w:tcMar>
              <w:top w:w="75" w:type="dxa"/>
              <w:start w:w="90" w:type="dxa"/>
              <w:bottom w:w="75" w:type="dxa"/>
              <w:end w:w="90" w:type="dxa"/>
              <w:left w:w="95" w:type="dxa"/>
              <w:right w:w="95" w:type="dxa"/>
            </w:tcMar>
            <w:vAlign w:val="center"/>
          </w:tcPr>
          <w:p>
            <w:pPr>
              <w:spacing w:before="40" w:after="40" w:line="259" w:lineRule="auto"/>
            </w:pPr>
            <w:r>
              <w:rPr>
                <w:rFonts w:ascii="Liberation Sans" w:hAnsi="Liberation Sans"/>
                <w:sz w:val="18"/>
              </w:rPr>
              <w:t>Aggressive innovator and supplier seeking rapid retail scale.</w:t>
            </w:r>
          </w:p>
        </w:tc>
      </w:tr>
      <w:tr>
        <w:trPr>
          <w:cantSplit/>
        </w:trPr>
        <w:tc>
          <w:tcPr>
            <w:tcW w:type="dxa" w:w="3053"/>
            <w:tcMar>
              <w:top w:w="75" w:type="dxa"/>
              <w:start w:w="90" w:type="dxa"/>
              <w:bottom w:w="75" w:type="dxa"/>
              <w:end w:w="90" w:type="dxa"/>
              <w:left w:w="95" w:type="dxa"/>
              <w:right w:w="95" w:type="dxa"/>
            </w:tcMar>
            <w:vAlign w:val="center"/>
          </w:tcPr>
          <w:p>
            <w:pPr>
              <w:spacing w:after="20"/>
            </w:pPr>
            <w:r>
              <w:rPr>
                <w:sz w:val="17"/>
              </w:rPr>
              <w:t>Risk / consequence context</w:t>
            </w:r>
          </w:p>
        </w:tc>
        <w:tc>
          <w:tcPr>
            <w:tcW w:type="dxa" w:w="7402"/>
            <w:tcMar>
              <w:top w:w="75" w:type="dxa"/>
              <w:start w:w="90" w:type="dxa"/>
              <w:bottom w:w="75" w:type="dxa"/>
              <w:end w:w="90" w:type="dxa"/>
              <w:left w:w="95" w:type="dxa"/>
              <w:right w:w="95" w:type="dxa"/>
            </w:tcMar>
            <w:vAlign w:val="center"/>
          </w:tcPr>
          <w:p>
            <w:pPr>
              <w:spacing w:before="40" w:after="40" w:line="259" w:lineRule="auto"/>
            </w:pPr>
            <w:r>
              <w:rPr>
                <w:rFonts w:ascii="Liberation Sans" w:hAnsi="Liberation Sans"/>
                <w:sz w:val="18"/>
              </w:rPr>
              <w:t>Incorrect results could affect diagnosis or treatment. Assay validity, laboratory quality, device claims, partner reliance, and patient trust are consequential.</w:t>
            </w:r>
          </w:p>
        </w:tc>
      </w:tr>
      <w:tr>
        <w:trPr>
          <w:cantSplit/>
        </w:trPr>
        <w:tc>
          <w:tcPr>
            <w:tcW w:type="dxa" w:w="3053"/>
            <w:tcMar>
              <w:top w:w="75" w:type="dxa"/>
              <w:start w:w="90" w:type="dxa"/>
              <w:bottom w:w="75" w:type="dxa"/>
              <w:end w:w="90" w:type="dxa"/>
              <w:left w:w="95" w:type="dxa"/>
              <w:right w:w="95" w:type="dxa"/>
            </w:tcMar>
            <w:vAlign w:val="center"/>
          </w:tcPr>
          <w:p>
            <w:pPr>
              <w:spacing w:after="20"/>
            </w:pPr>
            <w:r>
              <w:rPr>
                <w:sz w:val="17"/>
              </w:rPr>
              <w:t>Management question / time horizon</w:t>
            </w:r>
          </w:p>
        </w:tc>
        <w:tc>
          <w:tcPr>
            <w:tcW w:type="dxa" w:w="7402"/>
            <w:tcMar>
              <w:top w:w="75" w:type="dxa"/>
              <w:start w:w="90" w:type="dxa"/>
              <w:bottom w:w="75" w:type="dxa"/>
              <w:end w:w="90" w:type="dxa"/>
              <w:left w:w="95" w:type="dxa"/>
              <w:right w:w="95" w:type="dxa"/>
            </w:tcMar>
            <w:vAlign w:val="center"/>
          </w:tcPr>
          <w:p>
            <w:pPr>
              <w:spacing w:before="40" w:after="40" w:line="259" w:lineRule="auto"/>
            </w:pPr>
            <w:r>
              <w:rPr>
                <w:rFonts w:ascii="Liberation Sans" w:hAnsi="Liberation Sans"/>
                <w:sz w:val="18"/>
              </w:rPr>
              <w:t>At the 2015–2016 gate, expand patient testing or hold for independent assay validation? Evidence covers 2013–2018; later findings are hindsight.</w:t>
            </w:r>
          </w:p>
        </w:tc>
      </w:tr>
    </w:tbl>
    <w:p>
      <w:pPr>
        <w:pStyle w:val="Heading1"/>
      </w:pPr>
      <w:r>
        <w:t>C. Three-Level Finding</w:t>
      </w:r>
    </w:p>
    <w:tbl>
      <w:tblPr>
        <w:tblStyle w:val="TableGrid"/>
        <w:tblW w:type="auto" w:w="0"/>
        <w:jc w:val="center"/>
        <w:tblLayout w:type="fixed"/>
        <w:tblLook w:firstColumn="1" w:firstRow="1" w:lastColumn="0" w:lastRow="0" w:noHBand="0" w:noVBand="1" w:val="04A0"/>
      </w:tblPr>
      <w:tblGrid>
        <w:gridCol w:w="5227"/>
        <w:gridCol w:w="5227"/>
      </w:tblGrid>
      <w:tr>
        <w:trPr>
          <w:tblHeader w:val="true"/>
          <w:cantSplit/>
        </w:trPr>
        <w:tc>
          <w:tcPr>
            <w:tcW w:type="dxa" w:w="3053"/>
            <w:tcMar>
              <w:top w:w="75" w:type="dxa"/>
              <w:start w:w="90" w:type="dxa"/>
              <w:bottom w:w="75" w:type="dxa"/>
              <w:end w:w="90" w:type="dxa"/>
              <w:left w:w="95" w:type="dxa"/>
              <w:right w:w="95" w:type="dxa"/>
            </w:tcMar>
            <w:vAlign w:val="center"/>
            <w:shd w:fill="57068C"/>
          </w:tcPr>
          <w:p>
            <w:pPr>
              <w:spacing w:after="20"/>
            </w:pPr>
            <w:r>
              <w:rPr>
                <w:b/>
                <w:color w:val="FFFFFF"/>
                <w:sz w:val="17"/>
              </w:rPr>
              <w:t>Field</w:t>
            </w:r>
          </w:p>
        </w:tc>
        <w:tc>
          <w:tcPr>
            <w:tcW w:type="dxa" w:w="7402"/>
            <w:tcMar>
              <w:top w:w="75" w:type="dxa"/>
              <w:start w:w="90" w:type="dxa"/>
              <w:bottom w:w="75" w:type="dxa"/>
              <w:end w:w="90" w:type="dxa"/>
              <w:left w:w="95" w:type="dxa"/>
              <w:right w:w="95" w:type="dxa"/>
            </w:tcMar>
            <w:vAlign w:val="center"/>
            <w:shd w:fill="57068C"/>
          </w:tcPr>
          <w:p>
            <w:pPr>
              <w:spacing w:after="20"/>
            </w:pPr>
            <w:r>
              <w:rPr>
                <w:b/>
                <w:color w:val="FFFFFF"/>
                <w:sz w:val="17"/>
              </w:rPr>
              <w:t>Student record</w:t>
            </w:r>
          </w:p>
        </w:tc>
      </w:tr>
      <w:tr>
        <w:trPr>
          <w:cantSplit/>
        </w:trPr>
        <w:tc>
          <w:tcPr>
            <w:tcW w:type="dxa" w:w="3053"/>
            <w:tcMar>
              <w:top w:w="75" w:type="dxa"/>
              <w:start w:w="90" w:type="dxa"/>
              <w:bottom w:w="75" w:type="dxa"/>
              <w:end w:w="90" w:type="dxa"/>
              <w:left w:w="95" w:type="dxa"/>
              <w:right w:w="95" w:type="dxa"/>
            </w:tcMar>
            <w:vAlign w:val="center"/>
          </w:tcPr>
          <w:p>
            <w:pPr>
              <w:spacing w:after="20"/>
            </w:pPr>
            <w:r>
              <w:rPr>
                <w:sz w:val="17"/>
              </w:rPr>
              <w:t>ET generally</w:t>
            </w:r>
          </w:p>
        </w:tc>
        <w:tc>
          <w:tcPr>
            <w:tcW w:type="dxa" w:w="7402"/>
            <w:tcMar>
              <w:top w:w="75" w:type="dxa"/>
              <w:start w:w="90" w:type="dxa"/>
              <w:bottom w:w="75" w:type="dxa"/>
              <w:end w:w="90" w:type="dxa"/>
              <w:left w:w="95" w:type="dxa"/>
              <w:right w:w="95" w:type="dxa"/>
            </w:tcMar>
            <w:vAlign w:val="center"/>
          </w:tcPr>
          <w:p>
            <w:pPr>
              <w:spacing w:before="40" w:after="40" w:line="259" w:lineRule="auto"/>
            </w:pPr>
            <w:r>
              <w:rPr>
                <w:rFonts w:ascii="Liberation Sans" w:hAnsi="Liberation Sans"/>
                <w:sz w:val="18"/>
              </w:rPr>
              <w:t>No broad independent-laboratory adoption of the proprietary platform is established. A 2015 FDA decision concerned one HSV-1 IgG assay. Service sales and retail-center counts are different units from analyzer use. A national Rogers adopter category cannot be assigned [1, 3, 4].</w:t>
            </w:r>
          </w:p>
        </w:tc>
      </w:tr>
      <w:tr>
        <w:trPr>
          <w:cantSplit/>
        </w:trPr>
        <w:tc>
          <w:tcPr>
            <w:tcW w:type="dxa" w:w="3053"/>
            <w:tcMar>
              <w:top w:w="75" w:type="dxa"/>
              <w:start w:w="90" w:type="dxa"/>
              <w:bottom w:w="75" w:type="dxa"/>
              <w:end w:w="90" w:type="dxa"/>
              <w:left w:w="95" w:type="dxa"/>
              <w:right w:w="95" w:type="dxa"/>
            </w:tcMar>
            <w:vAlign w:val="center"/>
          </w:tcPr>
          <w:p>
            <w:pPr>
              <w:spacing w:after="20"/>
            </w:pPr>
            <w:r>
              <w:rPr>
                <w:sz w:val="17"/>
              </w:rPr>
              <w:t>ET for this application</w:t>
            </w:r>
          </w:p>
        </w:tc>
        <w:tc>
          <w:tcPr>
            <w:tcW w:type="dxa" w:w="7402"/>
            <w:tcMar>
              <w:top w:w="75" w:type="dxa"/>
              <w:start w:w="90" w:type="dxa"/>
              <w:bottom w:w="75" w:type="dxa"/>
              <w:end w:w="90" w:type="dxa"/>
              <w:left w:w="95" w:type="dxa"/>
              <w:right w:w="95" w:type="dxa"/>
            </w:tcMar>
            <w:vAlign w:val="center"/>
          </w:tcPr>
          <w:p>
            <w:pPr>
              <w:spacing w:before="40" w:after="40" w:line="259" w:lineRule="auto"/>
            </w:pPr>
            <w:r>
              <w:rPr>
                <w:rFonts w:ascii="Liberation Sans" w:hAnsi="Liberation Sans"/>
                <w:sz w:val="18"/>
              </w:rPr>
              <w:t>The service gained retail reach, but its proprietary analyzer diffusion remains unmeasured. Rogers: relative advantage was claimed, not broadly validated; compatibility required reliable assay performance and laboratory practice; complexity lay in sample handling and quality control; trialability was appropriate only in controlled nonclinical work; observability of actual analyzer use was poor [1–4].</w:t>
            </w:r>
          </w:p>
        </w:tc>
      </w:tr>
      <w:tr>
        <w:trPr>
          <w:cantSplit/>
        </w:trPr>
        <w:tc>
          <w:tcPr>
            <w:tcW w:type="dxa" w:w="3053"/>
            <w:tcMar>
              <w:top w:w="75" w:type="dxa"/>
              <w:start w:w="90" w:type="dxa"/>
              <w:bottom w:w="75" w:type="dxa"/>
              <w:end w:w="90" w:type="dxa"/>
              <w:left w:w="95" w:type="dxa"/>
              <w:right w:w="95" w:type="dxa"/>
            </w:tcMar>
            <w:vAlign w:val="center"/>
          </w:tcPr>
          <w:p>
            <w:pPr>
              <w:spacing w:after="20"/>
            </w:pPr>
            <w:r>
              <w:rPr>
                <w:sz w:val="17"/>
              </w:rPr>
              <w:t>ET for this application in this organization</w:t>
            </w:r>
          </w:p>
        </w:tc>
        <w:tc>
          <w:tcPr>
            <w:tcW w:type="dxa" w:w="7402"/>
            <w:tcMar>
              <w:top w:w="75" w:type="dxa"/>
              <w:start w:w="90" w:type="dxa"/>
              <w:bottom w:w="75" w:type="dxa"/>
              <w:end w:w="90" w:type="dxa"/>
              <w:left w:w="95" w:type="dxa"/>
              <w:right w:w="95" w:type="dxa"/>
            </w:tcMar>
            <w:vAlign w:val="center"/>
          </w:tcPr>
          <w:p>
            <w:pPr>
              <w:spacing w:before="40" w:after="40" w:line="259" w:lineRule="auto"/>
            </w:pPr>
            <w:r>
              <w:rPr>
                <w:rFonts w:ascii="Liberation Sans" w:hAnsi="Liberation Sans"/>
                <w:sz w:val="18"/>
              </w:rPr>
              <w:t>Walgreens access, publicity, and financing accelerated visibility and branded service availability. As supplier, Theranos still had to prove each clinical claim. Its aggressive posture did not substitute for independent evidence. The 2018 SEC allegation and later DOJ trial account strengthen this retrospective assessment [3, 5, 6].</w:t>
            </w:r>
          </w:p>
        </w:tc>
      </w:tr>
      <w:tr>
        <w:trPr>
          <w:cantSplit/>
        </w:trPr>
        <w:tc>
          <w:tcPr>
            <w:tcW w:type="dxa" w:w="3053"/>
            <w:tcMar>
              <w:top w:w="75" w:type="dxa"/>
              <w:start w:w="90" w:type="dxa"/>
              <w:bottom w:w="75" w:type="dxa"/>
              <w:end w:w="90" w:type="dxa"/>
              <w:left w:w="95" w:type="dxa"/>
              <w:right w:w="95" w:type="dxa"/>
            </w:tcMar>
            <w:vAlign w:val="center"/>
          </w:tcPr>
          <w:p>
            <w:pPr>
              <w:spacing w:after="20"/>
            </w:pPr>
            <w:r>
              <w:rPr>
                <w:sz w:val="17"/>
              </w:rPr>
              <w:t>Bounded management implication</w:t>
            </w:r>
          </w:p>
        </w:tc>
        <w:tc>
          <w:tcPr>
            <w:tcW w:type="dxa" w:w="7402"/>
            <w:tcMar>
              <w:top w:w="75" w:type="dxa"/>
              <w:start w:w="90" w:type="dxa"/>
              <w:bottom w:w="75" w:type="dxa"/>
              <w:end w:w="90" w:type="dxa"/>
              <w:left w:w="95" w:type="dxa"/>
              <w:right w:w="95" w:type="dxa"/>
            </w:tcMar>
            <w:vAlign w:val="center"/>
          </w:tcPr>
          <w:p>
            <w:pPr>
              <w:spacing w:before="40" w:after="40" w:line="259" w:lineRule="auto"/>
            </w:pPr>
            <w:r>
              <w:rPr>
                <w:rFonts w:ascii="Liberation Sans" w:hAnsi="Liberation Sans"/>
                <w:sz w:val="18"/>
              </w:rPr>
              <w:t>Pause broad clinical expansion at the 2015–2016 gate. Require independent, assay-specific accuracy and reproducibility testing, auditable analyzer provenance, quality remediation, and correction of affected results before any patient rollout. Theranos is defunct; this is a historical decision [2, 3, 6].</w:t>
            </w:r>
          </w:p>
        </w:tc>
      </w:tr>
      <w:tr>
        <w:trPr>
          <w:cantSplit/>
        </w:trPr>
        <w:tc>
          <w:tcPr>
            <w:tcW w:type="dxa" w:w="3053"/>
            <w:tcMar>
              <w:top w:w="75" w:type="dxa"/>
              <w:start w:w="90" w:type="dxa"/>
              <w:bottom w:w="75" w:type="dxa"/>
              <w:end w:w="90" w:type="dxa"/>
              <w:left w:w="95" w:type="dxa"/>
              <w:right w:w="95" w:type="dxa"/>
            </w:tcMar>
            <w:vAlign w:val="center"/>
          </w:tcPr>
          <w:p>
            <w:pPr>
              <w:spacing w:after="20"/>
            </w:pPr>
            <w:r>
              <w:rPr>
                <w:sz w:val="17"/>
              </w:rPr>
              <w:t>Confidence / uncertainty</w:t>
            </w:r>
          </w:p>
        </w:tc>
        <w:tc>
          <w:tcPr>
            <w:tcW w:type="dxa" w:w="7402"/>
            <w:tcMar>
              <w:top w:w="75" w:type="dxa"/>
              <w:start w:w="90" w:type="dxa"/>
              <w:bottom w:w="75" w:type="dxa"/>
              <w:end w:w="90" w:type="dxa"/>
              <w:left w:w="95" w:type="dxa"/>
              <w:right w:w="95" w:type="dxa"/>
            </w:tcMar>
            <w:vAlign w:val="center"/>
          </w:tcPr>
          <w:p>
            <w:pPr>
              <w:spacing w:before="40" w:after="40" w:line="259" w:lineRule="auto"/>
            </w:pPr>
            <w:r>
              <w:rPr>
                <w:rFonts w:ascii="Liberation Sans" w:hAnsi="Liberation Sans"/>
                <w:sz w:val="18"/>
              </w:rPr>
              <w:t>High confidence in the cited decision, inspection, closure, Arizona service totals, and later official proceedings. Low confidence in numerical proprietary-platform penetration. Later findings must not be treated as facts known to managers in 2015.</w:t>
            </w:r>
          </w:p>
        </w:tc>
      </w:tr>
      <w:tr>
        <w:trPr>
          <w:cantSplit/>
        </w:trPr>
        <w:tc>
          <w:tcPr>
            <w:tcW w:type="dxa" w:w="3053"/>
            <w:tcMar>
              <w:top w:w="75" w:type="dxa"/>
              <w:start w:w="90" w:type="dxa"/>
              <w:bottom w:w="75" w:type="dxa"/>
              <w:end w:w="90" w:type="dxa"/>
              <w:left w:w="95" w:type="dxa"/>
              <w:right w:w="95" w:type="dxa"/>
            </w:tcMar>
            <w:vAlign w:val="center"/>
          </w:tcPr>
          <w:p>
            <w:pPr>
              <w:spacing w:after="20"/>
            </w:pPr>
            <w:r>
              <w:rPr>
                <w:sz w:val="17"/>
              </w:rPr>
              <w:t>What evidence or condition would change the conclusion</w:t>
            </w:r>
          </w:p>
        </w:tc>
        <w:tc>
          <w:tcPr>
            <w:tcW w:type="dxa" w:w="7402"/>
            <w:tcMar>
              <w:top w:w="75" w:type="dxa"/>
              <w:start w:w="90" w:type="dxa"/>
              <w:bottom w:w="75" w:type="dxa"/>
              <w:end w:w="90" w:type="dxa"/>
              <w:left w:w="95" w:type="dxa"/>
              <w:right w:w="95" w:type="dxa"/>
            </w:tcMar>
            <w:vAlign w:val="center"/>
          </w:tcPr>
          <w:p>
            <w:pPr>
              <w:spacing w:before="40" w:after="40" w:line="259" w:lineRule="auto"/>
            </w:pPr>
            <w:r>
              <w:rPr>
                <w:rFonts w:ascii="Liberation Sans" w:hAnsi="Liberation Sans"/>
                <w:sz w:val="18"/>
              </w:rPr>
              <w:t>Independent assay-by-assay performance data; a traceable record of which analyzer generated each result; verified quality corrections; applicable regulatory clearance; and partner audit. The reviewed record does not establish these broad gates.</w:t>
            </w:r>
          </w:p>
        </w:tc>
      </w:tr>
    </w:tbl>
    <w:p>
      <w:pPr>
        <w:pStyle w:val="Heading1"/>
      </w:pPr>
      <w:r>
        <w:t>D. Evidence and Testing</w:t>
      </w:r>
    </w:p>
    <w:tbl>
      <w:tblPr>
        <w:tblStyle w:val="TableGrid"/>
        <w:tblW w:type="auto" w:w="0"/>
        <w:jc w:val="center"/>
        <w:tblLayout w:type="fixed"/>
        <w:tblLook w:firstColumn="1" w:firstRow="1" w:lastColumn="0" w:lastRow="0" w:noHBand="0" w:noVBand="1" w:val="04A0"/>
      </w:tblPr>
      <w:tblGrid>
        <w:gridCol w:w="5227"/>
        <w:gridCol w:w="5227"/>
      </w:tblGrid>
      <w:tr>
        <w:trPr>
          <w:tblHeader w:val="true"/>
          <w:cantSplit/>
        </w:trPr>
        <w:tc>
          <w:tcPr>
            <w:tcW w:type="dxa" w:w="3053"/>
            <w:tcMar>
              <w:top w:w="75" w:type="dxa"/>
              <w:start w:w="90" w:type="dxa"/>
              <w:bottom w:w="75" w:type="dxa"/>
              <w:end w:w="90" w:type="dxa"/>
              <w:left w:w="95" w:type="dxa"/>
              <w:right w:w="95" w:type="dxa"/>
            </w:tcMar>
            <w:vAlign w:val="center"/>
            <w:shd w:fill="57068C"/>
          </w:tcPr>
          <w:p>
            <w:pPr>
              <w:spacing w:after="20"/>
            </w:pPr>
            <w:r>
              <w:rPr>
                <w:b/>
                <w:color w:val="FFFFFF"/>
                <w:sz w:val="17"/>
              </w:rPr>
              <w:t>Field</w:t>
            </w:r>
          </w:p>
        </w:tc>
        <w:tc>
          <w:tcPr>
            <w:tcW w:type="dxa" w:w="7402"/>
            <w:tcMar>
              <w:top w:w="75" w:type="dxa"/>
              <w:start w:w="90" w:type="dxa"/>
              <w:bottom w:w="75" w:type="dxa"/>
              <w:end w:w="90" w:type="dxa"/>
              <w:left w:w="95" w:type="dxa"/>
              <w:right w:w="95" w:type="dxa"/>
            </w:tcMar>
            <w:vAlign w:val="center"/>
            <w:shd w:fill="57068C"/>
          </w:tcPr>
          <w:p>
            <w:pPr>
              <w:spacing w:after="20"/>
            </w:pPr>
            <w:r>
              <w:rPr>
                <w:b/>
                <w:color w:val="FFFFFF"/>
                <w:sz w:val="17"/>
              </w:rPr>
              <w:t>Student record</w:t>
            </w:r>
          </w:p>
        </w:tc>
      </w:tr>
      <w:tr>
        <w:trPr>
          <w:cantSplit/>
        </w:trPr>
        <w:tc>
          <w:tcPr>
            <w:tcW w:type="dxa" w:w="3053"/>
            <w:tcMar>
              <w:top w:w="75" w:type="dxa"/>
              <w:start w:w="90" w:type="dxa"/>
              <w:bottom w:w="75" w:type="dxa"/>
              <w:end w:w="90" w:type="dxa"/>
              <w:left w:w="95" w:type="dxa"/>
              <w:right w:w="95" w:type="dxa"/>
            </w:tcMar>
            <w:vAlign w:val="center"/>
          </w:tcPr>
          <w:p>
            <w:pPr>
              <w:spacing w:after="20"/>
            </w:pPr>
            <w:r>
              <w:rPr>
                <w:sz w:val="17"/>
              </w:rPr>
              <w:t>Most important evidence/source(s)</w:t>
            </w:r>
          </w:p>
        </w:tc>
        <w:tc>
          <w:tcPr>
            <w:tcW w:type="dxa" w:w="7402"/>
            <w:tcMar>
              <w:top w:w="75" w:type="dxa"/>
              <w:start w:w="90" w:type="dxa"/>
              <w:bottom w:w="75" w:type="dxa"/>
              <w:end w:w="90" w:type="dxa"/>
              <w:left w:w="95" w:type="dxa"/>
              <w:right w:w="95" w:type="dxa"/>
            </w:tcMar>
            <w:vAlign w:val="center"/>
          </w:tcPr>
          <w:p>
            <w:pPr>
              <w:spacing w:before="40" w:after="40" w:line="259" w:lineRule="auto"/>
            </w:pPr>
            <w:r>
              <w:rPr>
                <w:rFonts w:ascii="Liberation Sans" w:hAnsi="Liberation Sans"/>
                <w:sz w:val="18"/>
              </w:rPr>
              <w:t>Six dated original sources: FDA decision and Form 483 [1–2], Walgreens closure [3], Arizona Attorney General service figures [4], SEC civil allegations [5], and DOJ trial account [6]. Full citations and limits follow.</w:t>
            </w:r>
          </w:p>
        </w:tc>
      </w:tr>
      <w:tr>
        <w:trPr>
          <w:cantSplit/>
        </w:trPr>
        <w:tc>
          <w:tcPr>
            <w:tcW w:type="dxa" w:w="3053"/>
            <w:tcMar>
              <w:top w:w="75" w:type="dxa"/>
              <w:start w:w="90" w:type="dxa"/>
              <w:bottom w:w="75" w:type="dxa"/>
              <w:end w:w="90" w:type="dxa"/>
              <w:left w:w="95" w:type="dxa"/>
              <w:right w:w="95" w:type="dxa"/>
            </w:tcMar>
            <w:vAlign w:val="center"/>
          </w:tcPr>
          <w:p>
            <w:pPr>
              <w:spacing w:after="20"/>
            </w:pPr>
            <w:r>
              <w:rPr>
                <w:sz w:val="17"/>
              </w:rPr>
              <w:t>Primary test - result</w:t>
            </w:r>
          </w:p>
        </w:tc>
        <w:tc>
          <w:tcPr>
            <w:tcW w:type="dxa" w:w="7402"/>
            <w:tcMar>
              <w:top w:w="75" w:type="dxa"/>
              <w:start w:w="90" w:type="dxa"/>
              <w:bottom w:w="75" w:type="dxa"/>
              <w:end w:w="90" w:type="dxa"/>
              <w:left w:w="95" w:type="dxa"/>
              <w:right w:w="95" w:type="dxa"/>
            </w:tcMar>
            <w:vAlign w:val="center"/>
          </w:tcPr>
          <w:p>
            <w:pPr>
              <w:spacing w:before="40" w:after="40" w:line="259" w:lineRule="auto"/>
            </w:pPr>
            <w:r>
              <w:rPr>
                <w:rFonts w:ascii="Liberation Sans" w:hAnsi="Liberation Sans"/>
                <w:sz w:val="18"/>
              </w:rPr>
              <w:t>The Theranos primary prompt packet was generated and its saved v0.4 JSON response passed the supplied validator. The bounded historical recommendation was to halt broad clinical expansion pending independent assay verification.</w:t>
            </w:r>
          </w:p>
        </w:tc>
      </w:tr>
      <w:tr>
        <w:trPr>
          <w:cantSplit/>
        </w:trPr>
        <w:tc>
          <w:tcPr>
            <w:tcW w:type="dxa" w:w="3053"/>
            <w:tcMar>
              <w:top w:w="75" w:type="dxa"/>
              <w:start w:w="90" w:type="dxa"/>
              <w:bottom w:w="75" w:type="dxa"/>
              <w:end w:w="90" w:type="dxa"/>
              <w:left w:w="95" w:type="dxa"/>
              <w:right w:w="95" w:type="dxa"/>
            </w:tcMar>
            <w:vAlign w:val="center"/>
          </w:tcPr>
          <w:p>
            <w:pPr>
              <w:spacing w:after="20"/>
            </w:pPr>
            <w:r>
              <w:rPr>
                <w:sz w:val="17"/>
              </w:rPr>
              <w:t>Contrast test - what appropriately stayed stable</w:t>
            </w:r>
          </w:p>
        </w:tc>
        <w:tc>
          <w:tcPr>
            <w:tcW w:type="dxa" w:w="7402"/>
            <w:tcMar>
              <w:top w:w="75" w:type="dxa"/>
              <w:start w:w="90" w:type="dxa"/>
              <w:bottom w:w="75" w:type="dxa"/>
              <w:end w:w="90" w:type="dxa"/>
              <w:left w:w="95" w:type="dxa"/>
              <w:right w:w="95" w:type="dxa"/>
            </w:tcMar>
            <w:vAlign w:val="center"/>
          </w:tcPr>
          <w:p>
            <w:pPr>
              <w:spacing w:before="40" w:after="40" w:line="259" w:lineRule="auto"/>
            </w:pPr>
            <w:r>
              <w:rPr>
                <w:rFonts w:ascii="Liberation Sans" w:hAnsi="Liberation Sans"/>
                <w:sz w:val="18"/>
              </w:rPr>
              <w:t>Across Theranos, Walgreens, and a hypothetical independent laboratory, the general platform finding, application-level Rogers assessment, and six evidence records stayed constant. None equated service sales with proprietary-analyzer adoption.</w:t>
            </w:r>
          </w:p>
        </w:tc>
      </w:tr>
      <w:tr>
        <w:trPr>
          <w:cantSplit/>
        </w:trPr>
        <w:tc>
          <w:tcPr>
            <w:tcW w:type="dxa" w:w="3053"/>
            <w:tcMar>
              <w:top w:w="75" w:type="dxa"/>
              <w:start w:w="90" w:type="dxa"/>
              <w:bottom w:w="75" w:type="dxa"/>
              <w:end w:w="90" w:type="dxa"/>
              <w:left w:w="95" w:type="dxa"/>
              <w:right w:w="95" w:type="dxa"/>
            </w:tcMar>
            <w:vAlign w:val="center"/>
          </w:tcPr>
          <w:p>
            <w:pPr>
              <w:spacing w:after="20"/>
            </w:pPr>
            <w:r>
              <w:rPr>
                <w:sz w:val="17"/>
              </w:rPr>
              <w:t>Contrast test - what appropriately changed</w:t>
            </w:r>
          </w:p>
        </w:tc>
        <w:tc>
          <w:tcPr>
            <w:tcW w:type="dxa" w:w="7402"/>
            <w:tcMar>
              <w:top w:w="75" w:type="dxa"/>
              <w:start w:w="90" w:type="dxa"/>
              <w:bottom w:w="75" w:type="dxa"/>
              <w:end w:w="90" w:type="dxa"/>
              <w:left w:w="95" w:type="dxa"/>
              <w:right w:w="95" w:type="dxa"/>
            </w:tcMar>
            <w:vAlign w:val="center"/>
          </w:tcPr>
          <w:p>
            <w:pPr>
              <w:spacing w:before="40" w:after="40" w:line="259" w:lineRule="auto"/>
            </w:pPr>
            <w:r>
              <w:rPr>
                <w:rFonts w:ascii="Liberation Sans" w:hAnsi="Liberation Sans"/>
                <w:sz w:val="18"/>
              </w:rPr>
              <w:t>The organizational action changed appropriately: Theranos must validate and remediate; Walgreens must withhold expansion, suspend affected service, and protect customers; an independent lab must reject patient use during procurement screening.</w:t>
            </w:r>
          </w:p>
        </w:tc>
      </w:tr>
      <w:tr>
        <w:trPr>
          <w:cantSplit/>
        </w:trPr>
        <w:tc>
          <w:tcPr>
            <w:tcW w:type="dxa" w:w="3053"/>
            <w:tcMar>
              <w:top w:w="75" w:type="dxa"/>
              <w:start w:w="90" w:type="dxa"/>
              <w:bottom w:w="75" w:type="dxa"/>
              <w:end w:w="90" w:type="dxa"/>
              <w:left w:w="95" w:type="dxa"/>
              <w:right w:w="95" w:type="dxa"/>
            </w:tcMar>
            <w:vAlign w:val="center"/>
          </w:tcPr>
          <w:p>
            <w:pPr>
              <w:spacing w:after="20"/>
            </w:pPr>
            <w:r>
              <w:rPr>
                <w:sz w:val="17"/>
              </w:rPr>
              <w:t>Weakness/failure found</w:t>
            </w:r>
          </w:p>
        </w:tc>
        <w:tc>
          <w:tcPr>
            <w:tcW w:type="dxa" w:w="7402"/>
            <w:tcMar>
              <w:top w:w="75" w:type="dxa"/>
              <w:start w:w="90" w:type="dxa"/>
              <w:bottom w:w="75" w:type="dxa"/>
              <w:end w:w="90" w:type="dxa"/>
              <w:left w:w="95" w:type="dxa"/>
              <w:right w:w="95" w:type="dxa"/>
            </w:tcMar>
            <w:vAlign w:val="center"/>
          </w:tcPr>
          <w:p>
            <w:pPr>
              <w:spacing w:before="40" w:after="40" w:line="259" w:lineRule="auto"/>
            </w:pPr>
            <w:r>
              <w:rPr>
                <w:rFonts w:ascii="Liberation Sans" w:hAnsi="Liberation Sans"/>
                <w:sz w:val="18"/>
              </w:rPr>
              <w:t>An adversarial v0.3 diagnostic fixture claimed that roughly 1.5 million Arizona branded tests proved early-majority analyzer diffusion and that one FDA assay decision was broad clearance. The structural validator passed the fixture. It was deliberately written for diagnosis, not a spontaneous model response.</w:t>
            </w:r>
          </w:p>
        </w:tc>
      </w:tr>
      <w:tr>
        <w:trPr>
          <w:cantSplit/>
        </w:trPr>
        <w:tc>
          <w:tcPr>
            <w:tcW w:type="dxa" w:w="3053"/>
            <w:tcMar>
              <w:top w:w="75" w:type="dxa"/>
              <w:start w:w="90" w:type="dxa"/>
              <w:bottom w:w="75" w:type="dxa"/>
              <w:end w:w="90" w:type="dxa"/>
              <w:left w:w="95" w:type="dxa"/>
              <w:right w:w="95" w:type="dxa"/>
            </w:tcMar>
            <w:vAlign w:val="center"/>
          </w:tcPr>
          <w:p>
            <w:pPr>
              <w:spacing w:after="20"/>
            </w:pPr>
            <w:r>
              <w:rPr>
                <w:sz w:val="17"/>
              </w:rPr>
              <w:t>Revision made and why</w:t>
            </w:r>
          </w:p>
        </w:tc>
        <w:tc>
          <w:tcPr>
            <w:tcW w:type="dxa" w:w="7402"/>
            <w:tcMar>
              <w:top w:w="75" w:type="dxa"/>
              <w:start w:w="90" w:type="dxa"/>
              <w:bottom w:w="75" w:type="dxa"/>
              <w:end w:w="90" w:type="dxa"/>
              <w:left w:w="95" w:type="dxa"/>
              <w:right w:w="95" w:type="dxa"/>
            </w:tcMar>
            <w:vAlign w:val="center"/>
          </w:tcPr>
          <w:p>
            <w:pPr>
              <w:spacing w:before="40" w:after="40" w:line="259" w:lineRule="auto"/>
            </w:pPr>
            <w:r>
              <w:rPr>
                <w:rFonts w:ascii="Liberation Sans" w:hAnsi="Liberation Sans"/>
                <w:sz w:val="18"/>
              </w:rPr>
              <w:t>Version 0.4 added source-date and source-type checks, separated service uptake from proprietary-device use, constrained FDA scope, separated 2015 knowledge from later hindsight, and barred patient rollout without independent validation.</w:t>
            </w:r>
          </w:p>
        </w:tc>
      </w:tr>
      <w:tr>
        <w:trPr>
          <w:cantSplit/>
        </w:trPr>
        <w:tc>
          <w:tcPr>
            <w:tcW w:type="dxa" w:w="3053"/>
            <w:tcMar>
              <w:top w:w="75" w:type="dxa"/>
              <w:start w:w="90" w:type="dxa"/>
              <w:bottom w:w="75" w:type="dxa"/>
              <w:end w:w="90" w:type="dxa"/>
              <w:left w:w="95" w:type="dxa"/>
              <w:right w:w="95" w:type="dxa"/>
            </w:tcMar>
            <w:vAlign w:val="center"/>
          </w:tcPr>
          <w:p>
            <w:pPr>
              <w:spacing w:after="20"/>
            </w:pPr>
            <w:r>
              <w:rPr>
                <w:sz w:val="17"/>
              </w:rPr>
              <w:t>Remaining limitation / abstention condition</w:t>
            </w:r>
          </w:p>
        </w:tc>
        <w:tc>
          <w:tcPr>
            <w:tcW w:type="dxa" w:w="7402"/>
            <w:tcMar>
              <w:top w:w="75" w:type="dxa"/>
              <w:start w:w="90" w:type="dxa"/>
              <w:bottom w:w="75" w:type="dxa"/>
              <w:end w:w="90" w:type="dxa"/>
              <w:left w:w="95" w:type="dxa"/>
              <w:right w:w="95" w:type="dxa"/>
            </w:tcMar>
            <w:vAlign w:val="center"/>
          </w:tcPr>
          <w:p>
            <w:pPr>
              <w:spacing w:before="40" w:after="40" w:line="259" w:lineRule="auto"/>
            </w:pPr>
            <w:r>
              <w:rPr>
                <w:rFonts w:ascii="Liberation Sans" w:hAnsi="Liberation Sans"/>
                <w:sz w:val="18"/>
              </w:rPr>
              <w:t>There is no reliable denominator for independent use of the claimed multi-analyte platform. Abstain from national adopter-stage or penetration estimates and from unverified speed, cost, or accuracy advantage claims.</w:t>
            </w:r>
          </w:p>
        </w:tc>
      </w:tr>
    </w:tbl>
    <w:p>
      <w:pPr>
        <w:pStyle w:val="Heading1"/>
      </w:pPr>
      <w:r>
        <w:t>E. Independent Judgment and Handoff</w:t>
      </w:r>
    </w:p>
    <w:tbl>
      <w:tblPr>
        <w:tblStyle w:val="TableGrid"/>
        <w:tblW w:type="auto" w:w="0"/>
        <w:jc w:val="center"/>
        <w:tblLayout w:type="fixed"/>
        <w:tblLook w:firstColumn="1" w:firstRow="1" w:lastColumn="0" w:lastRow="0" w:noHBand="0" w:noVBand="1" w:val="04A0"/>
      </w:tblPr>
      <w:tblGrid>
        <w:gridCol w:w="5227"/>
        <w:gridCol w:w="5227"/>
      </w:tblGrid>
      <w:tr>
        <w:trPr>
          <w:tblHeader w:val="true"/>
          <w:cantSplit/>
        </w:trPr>
        <w:tc>
          <w:tcPr>
            <w:tcW w:type="dxa" w:w="3053"/>
            <w:tcMar>
              <w:top w:w="75" w:type="dxa"/>
              <w:start w:w="90" w:type="dxa"/>
              <w:bottom w:w="75" w:type="dxa"/>
              <w:end w:w="90" w:type="dxa"/>
              <w:left w:w="95" w:type="dxa"/>
              <w:right w:w="95" w:type="dxa"/>
            </w:tcMar>
            <w:vAlign w:val="center"/>
            <w:shd w:fill="57068C"/>
          </w:tcPr>
          <w:p>
            <w:pPr>
              <w:spacing w:after="20"/>
            </w:pPr>
            <w:r>
              <w:rPr>
                <w:b/>
                <w:color w:val="FFFFFF"/>
                <w:sz w:val="17"/>
              </w:rPr>
              <w:t>Field</w:t>
            </w:r>
          </w:p>
        </w:tc>
        <w:tc>
          <w:tcPr>
            <w:tcW w:type="dxa" w:w="7402"/>
            <w:tcMar>
              <w:top w:w="75" w:type="dxa"/>
              <w:start w:w="90" w:type="dxa"/>
              <w:bottom w:w="75" w:type="dxa"/>
              <w:end w:w="90" w:type="dxa"/>
              <w:left w:w="95" w:type="dxa"/>
              <w:right w:w="95" w:type="dxa"/>
            </w:tcMar>
            <w:vAlign w:val="center"/>
            <w:shd w:fill="57068C"/>
          </w:tcPr>
          <w:p>
            <w:pPr>
              <w:spacing w:after="20"/>
            </w:pPr>
            <w:r>
              <w:rPr>
                <w:b/>
                <w:color w:val="FFFFFF"/>
                <w:sz w:val="17"/>
              </w:rPr>
              <w:t>Student record</w:t>
            </w:r>
          </w:p>
        </w:tc>
      </w:tr>
      <w:tr>
        <w:trPr>
          <w:cantSplit/>
        </w:trPr>
        <w:tc>
          <w:tcPr>
            <w:tcW w:type="dxa" w:w="3053"/>
            <w:tcMar>
              <w:top w:w="75" w:type="dxa"/>
              <w:start w:w="90" w:type="dxa"/>
              <w:bottom w:w="75" w:type="dxa"/>
              <w:end w:w="90" w:type="dxa"/>
              <w:left w:w="95" w:type="dxa"/>
              <w:right w:w="95" w:type="dxa"/>
            </w:tcMar>
            <w:vAlign w:val="center"/>
          </w:tcPr>
          <w:p>
            <w:pPr>
              <w:spacing w:after="20"/>
            </w:pPr>
            <w:r>
              <w:rPr>
                <w:sz w:val="17"/>
              </w:rPr>
              <w:t>Is the agent credible enough for team consideration? Why?</w:t>
            </w:r>
          </w:p>
        </w:tc>
        <w:tc>
          <w:tcPr>
            <w:tcW w:type="dxa" w:w="7402"/>
            <w:tcMar>
              <w:top w:w="75" w:type="dxa"/>
              <w:start w:w="90" w:type="dxa"/>
              <w:bottom w:w="75" w:type="dxa"/>
              <w:end w:w="90" w:type="dxa"/>
              <w:left w:w="95" w:type="dxa"/>
              <w:right w:w="95" w:type="dxa"/>
            </w:tcMar>
            <w:vAlign w:val="center"/>
          </w:tcPr>
          <w:p>
            <w:pPr>
              <w:spacing w:before="40" w:after="40" w:line="259" w:lineRule="auto"/>
            </w:pPr>
            <w:r>
              <w:rPr>
                <w:rFonts w:ascii="Liberation Sans" w:hAnsi="Liberation Sans"/>
                <w:sz w:val="18"/>
              </w:rPr>
              <w:t>Yes, for a bounded retrospective diffusion analysis. The agent keeps the technology and application constant, changes decisions by organizational role, and reaches a defensible no-scale timing judgment. It is not a clinical safety certification.</w:t>
            </w:r>
          </w:p>
        </w:tc>
      </w:tr>
      <w:tr>
        <w:trPr>
          <w:cantSplit/>
        </w:trPr>
        <w:tc>
          <w:tcPr>
            <w:tcW w:type="dxa" w:w="3053"/>
            <w:tcMar>
              <w:top w:w="75" w:type="dxa"/>
              <w:start w:w="90" w:type="dxa"/>
              <w:bottom w:w="75" w:type="dxa"/>
              <w:end w:w="90" w:type="dxa"/>
              <w:left w:w="95" w:type="dxa"/>
              <w:right w:w="95" w:type="dxa"/>
            </w:tcMar>
            <w:vAlign w:val="center"/>
          </w:tcPr>
          <w:p>
            <w:pPr>
              <w:spacing w:after="20"/>
            </w:pPr>
            <w:r>
              <w:rPr>
                <w:sz w:val="17"/>
              </w:rPr>
              <w:t>Most important recommendation to the team</w:t>
            </w:r>
          </w:p>
        </w:tc>
        <w:tc>
          <w:tcPr>
            <w:tcW w:type="dxa" w:w="7402"/>
            <w:tcMar>
              <w:top w:w="75" w:type="dxa"/>
              <w:start w:w="90" w:type="dxa"/>
              <w:bottom w:w="75" w:type="dxa"/>
              <w:end w:w="90" w:type="dxa"/>
              <w:left w:w="95" w:type="dxa"/>
              <w:right w:w="95" w:type="dxa"/>
            </w:tcMar>
            <w:vAlign w:val="center"/>
          </w:tcPr>
          <w:p>
            <w:pPr>
              <w:spacing w:before="40" w:after="40" w:line="259" w:lineRule="auto"/>
            </w:pPr>
            <w:r>
              <w:rPr>
                <w:rFonts w:ascii="Liberation Sans" w:hAnsi="Liberation Sans"/>
                <w:sz w:val="18"/>
              </w:rPr>
              <w:t>Pass to the Adoption Agent a strict distinction between branded service reach and verified proprietary-platform use; the narrow scope of the FDA decision; and a no-patient-use gate without independent validation.</w:t>
            </w:r>
          </w:p>
        </w:tc>
      </w:tr>
      <w:tr>
        <w:trPr>
          <w:cantSplit/>
        </w:trPr>
        <w:tc>
          <w:tcPr>
            <w:tcW w:type="dxa" w:w="3053"/>
            <w:tcMar>
              <w:top w:w="75" w:type="dxa"/>
              <w:start w:w="90" w:type="dxa"/>
              <w:bottom w:w="75" w:type="dxa"/>
              <w:end w:w="90" w:type="dxa"/>
              <w:left w:w="95" w:type="dxa"/>
              <w:right w:w="95" w:type="dxa"/>
            </w:tcMar>
            <w:vAlign w:val="center"/>
          </w:tcPr>
          <w:p>
            <w:pPr>
              <w:spacing w:after="20"/>
            </w:pPr>
            <w:r>
              <w:rPr>
                <w:sz w:val="17"/>
              </w:rPr>
              <w:t>AI / verification note</w:t>
            </w:r>
          </w:p>
        </w:tc>
        <w:tc>
          <w:tcPr>
            <w:tcW w:type="dxa" w:w="7402"/>
            <w:tcMar>
              <w:top w:w="75" w:type="dxa"/>
              <w:start w:w="90" w:type="dxa"/>
              <w:bottom w:w="75" w:type="dxa"/>
              <w:end w:w="90" w:type="dxa"/>
              <w:left w:w="95" w:type="dxa"/>
              <w:right w:w="95" w:type="dxa"/>
            </w:tcMar>
            <w:vAlign w:val="center"/>
          </w:tcPr>
          <w:p>
            <w:pPr>
              <w:spacing w:before="40" w:after="40" w:line="259" w:lineRule="auto"/>
            </w:pPr>
            <w:r>
              <w:rPr>
                <w:rFonts w:ascii="Liberation Sans" w:hAnsi="Liberation Sans"/>
                <w:sz w:val="18"/>
              </w:rPr>
              <w:t>Codex acted as a development and testing assistant: it helped prepare the Rogers mapping, cases, diagnostic fixture, revision and model-assisted responses. Codex ran the prompt builder for three cases, three JSON validators, the contrast check and the frozen-core check. Consequential claims were checked against six original sources, with civil allegations distinguished from criminal findings. The saved responses were not separate blinded API runs; no live patient data was used.</w:t>
            </w:r>
          </w:p>
        </w:tc>
      </w:tr>
    </w:tbl>
    <w:p>
      <w:pPr>
        <w:pStyle w:val="Heading1"/>
        <w:pageBreakBefore/>
      </w:pPr>
      <w:r>
        <w:t>Original Sources and Limits</w:t>
      </w:r>
    </w:p>
    <w:p>
      <w:pPr>
        <w:keepLines/>
        <w:spacing w:after="100"/>
      </w:pPr>
      <w:r>
        <w:t xml:space="preserve">1. FDA, HSV-1 IgG assay decision summary K143236 (July 2, 2015). One specified assay and intended use; no broad multi-analyte clearance. </w:t>
      </w:r>
      <w:hyperlink r:id="rId12">
        <w:r>
          <w:rPr>
            <w:color w:val="305787"/>
            <w:u w:val="single"/>
          </w:rPr>
          <w:t>FDA decision</w:t>
        </w:r>
      </w:hyperlink>
    </w:p>
    <w:p>
      <w:pPr>
        <w:keepLines/>
        <w:spacing w:after="100"/>
      </w:pPr>
      <w:r>
        <w:t xml:space="preserve">2. FDA, Form 483, Theranos Newark inspection (August 25–September 16, 2015). Nanotainer listing and complaint-handling observations; not a final agency compliance determination. </w:t>
      </w:r>
      <w:hyperlink r:id="rId13">
        <w:r>
          <w:rPr>
            <w:color w:val="305787"/>
            <w:u w:val="single"/>
          </w:rPr>
          <w:t>FDA Form 483</w:t>
        </w:r>
      </w:hyperlink>
    </w:p>
    <w:p>
      <w:pPr>
        <w:keepLines/>
        <w:spacing w:after="100"/>
      </w:pPr>
      <w:r>
        <w:t xml:space="preserve">3. Walgreens Boots Alliance, termination and closure notice (June 12–13, 2016). All 40 Arizona centers closed amid voided results and CMS concerns; center count describes service distribution. </w:t>
      </w:r>
      <w:hyperlink r:id="rId14">
        <w:r>
          <w:rPr>
            <w:color w:val="305787"/>
            <w:u w:val="single"/>
          </w:rPr>
          <w:t>Walgreens notice</w:t>
        </w:r>
      </w:hyperlink>
    </w:p>
    <w:p>
      <w:pPr>
        <w:keepLines/>
        <w:spacing w:after="100"/>
      </w:pPr>
      <w:r>
        <w:t xml:space="preserve">4. Arizona Attorney General, 2017 Annual Report, describing 2013–2016. About 1.5 million tests sold to more than 175,000 Arizonans; roughly 10% later voided or corrected. Transactions do not count proprietary analyzer runs. </w:t>
      </w:r>
      <w:hyperlink r:id="rId15">
        <w:r>
          <w:rPr>
            <w:color w:val="305787"/>
            <w:u w:val="single"/>
          </w:rPr>
          <w:t>Arizona report</w:t>
        </w:r>
      </w:hyperlink>
    </w:p>
    <w:p>
      <w:pPr>
        <w:keepLines/>
        <w:spacing w:after="100"/>
      </w:pPr>
      <w:r>
        <w:t xml:space="preserve">5. SEC, Litigation Release 24069 (March 19, 2018). Civil allegations concerning limited proprietary-analyzer use and reliance on third-party devices; Theranos and Holmes settled without admitting or denying. </w:t>
      </w:r>
      <w:hyperlink r:id="rId16">
        <w:r>
          <w:rPr>
            <w:color w:val="305787"/>
            <w:u w:val="single"/>
          </w:rPr>
          <w:t>SEC release</w:t>
        </w:r>
      </w:hyperlink>
    </w:p>
    <w:p>
      <w:pPr>
        <w:keepLines/>
        <w:spacing w:after="100"/>
      </w:pPr>
      <w:r>
        <w:t xml:space="preserve">6. DOJ, account of trial evidence and verdicts (December 7, 2022). Describes analyzer failures, voided tests, and Balwani conviction. Holmes was convicted on investor-fraud counts and acquitted on patient-related counts. Later hindsight. </w:t>
      </w:r>
      <w:hyperlink r:id="rId17">
        <w:r>
          <w:rPr>
            <w:color w:val="305787"/>
            <w:u w:val="single"/>
          </w:rPr>
          <w:t>DOJ account</w:t>
        </w:r>
      </w:hyperlink>
    </w:p>
    <w:p>
      <w:pPr>
        <w:pStyle w:val="Heading1"/>
      </w:pPr>
      <w:r>
        <w:t>Actual Testing and Revision</w:t>
      </w:r>
    </w:p>
    <w:p>
      <w:pPr>
        <w:keepLines/>
        <w:spacing w:after="120"/>
      </w:pPr>
      <w:r>
        <w:t>The frozen scaffold was not edited. The supplied prompt builder was run separately for the Theranos primary case, the Walgreens contrast, and the independent-lab contrast. The three corrected v0.4 response files each returned VALIDATION PASSED. The contrast check returned “THERANOS CONTRAST PASSED: 3 contexts; evidence stable; decisions differ; overclaim rejected.” The frozen-core check returned “FROZEN CORE INTACT.”</w:t>
      </w:r>
    </w:p>
    <w:p>
      <w:pPr>
        <w:keepLines/>
        <w:spacing w:after="120"/>
      </w:pPr>
      <w:r>
        <w:t>An earlier temporary response-writing helper failed on an apostrophe and left stale output for a validation attempt. The helper was corrected and rerun; only the successful rerun on the corrected files supports the reported v0.4 result. Structural validation alone had also passed the deliberately flawed v0.3 fixture, which prompted the substantive instruction revision.</w:t>
      </w:r>
    </w:p>
    <w:p>
      <w:pPr>
        <w:keepLines/>
        <w:spacing w:after="120"/>
      </w:pPr>
      <w:r>
        <w:t>Repository: github.com/yicrry777/1800lab5. The full machine-readable cases, saved outputs, specialist instructions, test script, and evidence record are in agents/diffusion_agent/. The source record identifies what each original source can and cannot establish.</w:t>
      </w:r>
    </w:p>
    <w:sectPr w:rsidR="00630F3A" w:rsidSect="00034616">
      <w:headerReference w:type="default" r:id="rId8"/>
      <w:footerReference w:type="default" r:id="rId9"/>
      <w:pgSz w:w="12240" w:h="15840"/>
      <w:pgMar w:top="792" w:right="893" w:bottom="792"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F834FE" w:rsidRDefault="00F834FE">
      <w:pPr>
        <w:spacing w:after="0" w:line="240" w:lineRule="auto"/>
        <w:rPr>
          <w:rFonts w:hint="eastAsia"/>
        </w:rPr>
      </w:pPr>
      <w:r>
        <w:separator/>
      </w:r>
    </w:p>
  </w:endnote>
  <w:endnote w:type="continuationSeparator" w:id="0">
    <w:p w:rsidR="00F834FE" w:rsidRDefault="00F834FE">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0F3A" w:rsidRDefault="00000000">
    <w:pPr>
      <w:pStyle w:val="Footer"/>
      <w:jc w:val="center"/>
      <w:rPr>
        <w:rFonts w:hint="eastAsia"/>
      </w:rPr>
    </w:pPr>
    <w:r>
      <w:rPr>
        <w:color w:val="666666"/>
        <w:sz w:val="16"/>
      </w:rPr>
    </w:r>
    <w:r>
      <w:t>Theranos Diffusion Agent Record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F834FE" w:rsidRDefault="00F834FE">
      <w:pPr>
        <w:spacing w:after="0" w:line="240" w:lineRule="auto"/>
        <w:rPr>
          <w:rFonts w:hint="eastAsia"/>
        </w:rPr>
      </w:pPr>
      <w:r>
        <w:separator/>
      </w:r>
    </w:p>
  </w:footnote>
  <w:footnote w:type="continuationSeparator" w:id="0">
    <w:p w:rsidR="00F834FE" w:rsidRDefault="00F834FE">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0F3A" w:rsidRDefault="00000000">
    <w:pPr>
      <w:pStyle w:val="Header"/>
      <w:jc w:val="right"/>
      <w:rPr>
        <w:rFonts w:hint="eastAsia"/>
      </w:rPr>
    </w:pPr>
    <w:r>
      <w:rPr>
        <w:b/>
        <w:color w:val="57068C"/>
        <w:sz w:val="16"/>
      </w:rPr>
      <w:t>NYU SPS | MASY1-GC 1800 | EMERGING TECHNOLOGIES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02544149">
    <w:abstractNumId w:val="8"/>
  </w:num>
  <w:num w:numId="2" w16cid:durableId="1931616119">
    <w:abstractNumId w:val="6"/>
  </w:num>
  <w:num w:numId="3" w16cid:durableId="1238203996">
    <w:abstractNumId w:val="5"/>
  </w:num>
  <w:num w:numId="4" w16cid:durableId="1845591355">
    <w:abstractNumId w:val="4"/>
  </w:num>
  <w:num w:numId="5" w16cid:durableId="203055673">
    <w:abstractNumId w:val="7"/>
  </w:num>
  <w:num w:numId="6" w16cid:durableId="921061524">
    <w:abstractNumId w:val="3"/>
  </w:num>
  <w:num w:numId="7" w16cid:durableId="291711437">
    <w:abstractNumId w:val="2"/>
  </w:num>
  <w:num w:numId="8" w16cid:durableId="1521776730">
    <w:abstractNumId w:val="1"/>
  </w:num>
  <w:num w:numId="9" w16cid:durableId="144247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14B14"/>
    <w:rsid w:val="0029639D"/>
    <w:rsid w:val="00326F90"/>
    <w:rsid w:val="00630F3A"/>
    <w:rsid w:val="006E721C"/>
    <w:rsid w:val="00AA1D8D"/>
    <w:rsid w:val="00B47730"/>
    <w:rsid w:val="00CB0664"/>
    <w:rsid w:val="00F834F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DC0CD959-1D97-D94F-BA39-D34FFBA87C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line="252" w:lineRule="auto"/>
    </w:pPr>
    <w:rPr>
      <w:rFonts w:ascii="Liberation Sans" w:hAnsi="Liberation Sans"/>
      <w:sz w:val="19"/>
    </w:rPr>
  </w:style>
  <w:style w:type="paragraph" w:styleId="Heading1">
    <w:name w:val="heading 1"/>
    <w:basedOn w:val="Normal"/>
    <w:next w:val="Normal"/>
    <w:link w:val="Heading1Char"/>
    <w:uiPriority w:val="9"/>
    <w:qFormat/>
    <w:rsid w:val="00FC693F"/>
    <w:pPr>
      <w:keepNext/>
      <w:keepLines/>
      <w:spacing w:after="160"/>
      <w:outlineLvl w:val="0"/>
    </w:pPr>
    <w:rPr>
      <w:rFonts w:asciiTheme="majorHAnsi" w:eastAsiaTheme="majorEastAsia" w:hAnsiTheme="majorHAnsi" w:cstheme="majorBidi"/>
      <w:b/>
      <w:bCs/>
      <w:color w:val="57068C"/>
      <w:sz w:val="34"/>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b/>
      <w:bCs/>
      <w:color w:val="57068C"/>
      <w:sz w:val="25"/>
      <w:szCs w:val="26"/>
    </w:rPr>
  </w:style>
  <w:style w:type="paragraph" w:styleId="Heading3">
    <w:name w:val="heading 3"/>
    <w:basedOn w:val="Normal"/>
    <w:next w:val="Normal"/>
    <w:link w:val="Heading3Char"/>
    <w:uiPriority w:val="9"/>
    <w:unhideWhenUsed/>
    <w:qFormat/>
    <w:rsid w:val="00FC693F"/>
    <w:pPr>
      <w:keepNext/>
      <w:keepLines/>
      <w:spacing w:before="80" w:after="40"/>
      <w:outlineLvl w:val="2"/>
    </w:pPr>
    <w:rPr>
      <w:rFonts w:asciiTheme="majorHAnsi" w:eastAsiaTheme="majorEastAsia" w:hAnsiTheme="majorHAnsi" w:cstheme="majorBidi"/>
      <w:b/>
      <w:bCs/>
      <w:color w:val="25252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57068C"/>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pPr>
    <w:rPr>
      <w:rFonts w:ascii="Liberation Sans" w:hAnsi="Liberation Sans"/>
      <w:color w:val="666666"/>
      <w:sz w:val="18"/>
    </w:rPr>
  </w:style>
  <w:style w:type="paragraph" w:customStyle="1" w:styleId="Callout">
    <w:name w:val="Callout"/>
    <w:pPr>
      <w:spacing w:after="80"/>
    </w:pPr>
    <w:rPr>
      <w:rFonts w:ascii="Liberation Sans" w:hAnsi="Liberation Sans"/>
      <w:b/>
      <w:color w:val="57068C"/>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yperlink" Target="https://www.accessdata.fda.gov/cdrh_docs/reviews/k143236.pdf" TargetMode="External"/><Relationship Id="rId13" Type="http://schemas.openxmlformats.org/officeDocument/2006/relationships/hyperlink" Target="https://www.fda.gov/files/about%20fda/published/Theranos--Inc.--Newark--CA-483-Issued-09-16-2015.pdf" TargetMode="External"/><Relationship Id="rId14" Type="http://schemas.openxmlformats.org/officeDocument/2006/relationships/hyperlink" Target="https://www.walgreensbootsalliance.com/news-media/press-releases/2016/walgreens-terminates-relationship-with-theranos-will-be-closing-operations-at-all-40-theranos-wellness-centers-in-arizona" TargetMode="External"/><Relationship Id="rId15" Type="http://schemas.openxmlformats.org/officeDocument/2006/relationships/hyperlink" Target="https://www.azag.gov/sites/default/files/publications/2024-10/2017AnnualReport.pdf" TargetMode="External"/><Relationship Id="rId16" Type="http://schemas.openxmlformats.org/officeDocument/2006/relationships/hyperlink" Target="https://www.sec.gov/enforcement-litigation/litigation-releases/lr-24069" TargetMode="External"/><Relationship Id="rId17" Type="http://schemas.openxmlformats.org/officeDocument/2006/relationships/hyperlink" Target="https://www.justice.gov/usao-ndca/pr/theranos-president-sentenced-more-12-years-fraud-jeopardized-patient-health-and-bilk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19</Pages>
  <Words>7921</Words>
  <Characters>45155</Characters>
  <Application>Microsoft Office Word</Application>
  <DocSecurity>0</DocSecurity>
  <Lines>376</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52971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Theranos Diffusion Agent Record</dc:title>
  <dc:subject>MASY1-GC 1800 Assignment 5</dc:subject>
  <dc:creator>Andres Fortino</dc:creator>
  <cp:keywords>Theranos diffusion Rogers emerging technology</cp:keywords>
  <dc:description>generated by python-docx</dc:description>
  <cp:lastModifiedBy>Andres Fortino</cp:lastModifiedBy>
  <cp:revision>2</cp:revision>
  <dcterms:created xsi:type="dcterms:W3CDTF">2026-08-13T19:48:00Z</dcterms:created>
  <dcterms:modified xsi:type="dcterms:W3CDTF">2026-08-13T19:48:00Z</dcterms:modified>
  <cp:category/>
</cp:coreProperties>
</file>