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28"/>
        </w:rPr>
        <w:t>EMERGING TECHNOLOGIES</w:t>
      </w:r>
    </w:p>
    <w:p>
      <w:pPr>
        <w:pStyle w:val="Title"/>
        <w:jc w:val="center"/>
      </w:pPr>
      <w:r>
        <w:t>Common Emerging Technology Agent Scaffold</w:t>
        <w:br/>
        <w:t>Student Operating Guide</w:t>
      </w:r>
    </w:p>
    <w:p>
      <w:pPr>
        <w:jc w:val="center"/>
      </w:pPr>
      <w:r>
        <w:rPr>
          <w:i/>
          <w:color w:val="666666"/>
          <w:sz w:val="20"/>
        </w:rPr>
        <w:t>How to use the frozen Brightspace scaffold with ChatGPT/Codex to build, test, and document specialist agents</w:t>
      </w:r>
    </w:p>
    <w:p>
      <w:pPr>
        <w:jc w:val="center"/>
      </w:pPr>
      <w:r>
        <w:rPr>
          <w:b/>
          <w:color w:val="57068C"/>
        </w:rPr>
        <w:t>MASY1-GC 1800</w:t>
      </w:r>
    </w:p>
    <w:tbl>
      <w:tblPr>
        <w:tblW w:type="auto" w:w="0"/>
        <w:tblLook w:firstColumn="1" w:firstRow="1" w:lastColumn="0" w:lastRow="0" w:noHBand="0" w:noVBand="1" w:val="04A0"/>
      </w:tblPr>
      <w:tblGrid>
        <w:gridCol w:w="10454"/>
      </w:tblGrid>
      <w:tr>
        <w:tc>
          <w:tcPr>
            <w:tcW w:type="dxa" w:w="10454"/>
            <w:shd w:fill="F3EDF7"/>
            <w:tcMar>
              <w:top w:w="90" w:type="dxa"/>
              <w:start w:w="120" w:type="dxa"/>
              <w:bottom w:w="90" w:type="dxa"/>
              <w:end w:w="120" w:type="dxa"/>
            </w:tcMar>
          </w:tcPr>
          <w:p>
            <w:pPr>
              <w:pStyle w:val="Callout"/>
            </w:pPr>
            <w:r>
              <w:t>Assignments 2-8 use one frozen common scaffold. You are not building a new software architecture every week. Your work is to specialize the supplied agent structure for the week's analytical framework, test whether it reasons correctly, improve it, and exercise professional judgment. Target effort: 60-90 minutes; stop at 90 minutes unless instructed otherwise.</w:t>
            </w:r>
          </w:p>
        </w:tc>
      </w:tr>
    </w:tbl>
    <w:p>
      <w:pPr>
        <w:pStyle w:val="Heading1"/>
      </w:pPr>
      <w:r>
        <w:t>1. What You Receive From the Course</w:t>
      </w:r>
    </w:p>
    <w:p>
      <w:pPr>
        <w:pStyle w:val="ListBullet"/>
      </w:pPr>
      <w:r>
        <w:t>A frozen ZIP file in Brightspace: MASY1800_ET_Agent_Scaffold_v1_0.zip. The Brightspace ZIP is the canonical course version; the instructor does not host a GitHub repository.</w:t>
      </w:r>
    </w:p>
    <w:p>
      <w:pPr>
        <w:pStyle w:val="ListBullet"/>
      </w:pPr>
      <w:r>
        <w:t>A fixed common intake contract describing the emerging technology, intended application, organization, adoption posture, constraints, risk/consequence context, management question, and time horizon.</w:t>
      </w:r>
    </w:p>
    <w:p>
      <w:pPr>
        <w:pStyle w:val="ListBullet"/>
      </w:pPr>
      <w:r>
        <w:t>A fixed common output contract that makes all seven specialists comparable and integrable.</w:t>
      </w:r>
    </w:p>
    <w:p>
      <w:pPr>
        <w:pStyle w:val="ListBullet"/>
      </w:pPr>
      <w:r>
        <w:t>Local standard-library Python tools that build a ChatGPT-ready prompt packet and validate the structured response. The reference workflow does not require an OpenAI API account or API key.</w:t>
      </w:r>
    </w:p>
    <w:p>
      <w:pPr>
        <w:pStyle w:val="ListBullet"/>
      </w:pPr>
      <w:r>
        <w:t>The weekly assignment memo, which tells you what specialist expertise to add and what judgment the agent must support.</w:t>
      </w:r>
    </w:p>
    <w:p>
      <w:pPr>
        <w:pStyle w:val="Heading1"/>
      </w:pPr>
      <w:r>
        <w:t>2. Required Course Toolchain</w:t>
      </w:r>
    </w:p>
    <w:p>
      <w:r>
        <w:rPr>
          <w:b/>
        </w:rPr>
        <w:t>ChatGPT + Codex + your own GitHub working repository</w:t>
      </w:r>
      <w:r>
        <w:t xml:space="preserve"> is the supported course path for Assignments 2-8.</w:t>
      </w:r>
    </w:p>
    <w:p>
      <w:pPr>
        <w:pStyle w:val="ListBullet"/>
      </w:pPr>
      <w:r>
        <w:t>ChatGPT: use it to understand the assignment, reason through the weekly framework, critique outputs, generate contrasting test cases, and interpret results.</w:t>
      </w:r>
    </w:p>
    <w:p>
      <w:pPr>
        <w:pStyle w:val="ListBullet"/>
      </w:pPr>
      <w:r>
        <w:t>Codex inside ChatGPT: use it as the coding/development partner to inspect your working scaffold, modify the specialist files, explain changes, debug bounded code, and help run the included scripts.</w:t>
      </w:r>
    </w:p>
    <w:p>
      <w:pPr>
        <w:pStyle w:val="ListBullet"/>
      </w:pPr>
      <w:r>
        <w:t>Your GitHub repository: use it for your working copy and version history. Record the repository, branch, and commit associated with each submitted agent.</w:t>
      </w:r>
    </w:p>
    <w:p>
      <w:pPr>
        <w:pStyle w:val="ListBullet"/>
      </w:pPr>
      <w:r>
        <w:t>Brightspace: use it to obtain the frozen original ZIP and the weekly assignment memo. Keep the original ZIP unchanged.</w:t>
      </w:r>
    </w:p>
    <w:p>
      <w:r>
        <w:rPr>
          <w:b/>
        </w:rPr>
        <w:t xml:space="preserve">Important: </w:t>
      </w:r>
      <w:r>
        <w:t>Do not depend on ChatGPT/Codex being able to fetch an arbitrary GitHub URL. If needed, upload the assignment memo and relevant scaffold files or ZIP directly to ChatGPT/Codex.</w:t>
      </w:r>
    </w:p>
    <w:p>
      <w:pPr>
        <w:pStyle w:val="Heading1"/>
      </w:pPr>
      <w:r>
        <w:t>3. The Analytical Rule Every Agent Must Preserve</w:t>
      </w:r>
    </w:p>
    <w:tbl>
      <w:tblPr>
        <w:tblW w:type="auto" w:w="0"/>
        <w:tblLook w:firstColumn="1" w:firstRow="1" w:lastColumn="0" w:lastRow="0" w:noHBand="0" w:noVBand="1" w:val="04A0"/>
      </w:tblPr>
      <w:tblGrid>
        <w:gridCol w:w="10454"/>
      </w:tblGrid>
      <w:tr>
        <w:tc>
          <w:tcPr>
            <w:tcW w:type="dxa" w:w="10454"/>
            <w:shd w:fill="F3EDF7"/>
            <w:tcMar>
              <w:top w:w="90" w:type="dxa"/>
              <w:start w:w="120" w:type="dxa"/>
              <w:bottom w:w="90" w:type="dxa"/>
              <w:end w:w="120" w:type="dxa"/>
            </w:tcMar>
          </w:tcPr>
          <w:p>
            <w:pPr>
              <w:pStyle w:val="Callout"/>
            </w:pPr>
            <w:r>
              <w:t>ET generally  -&gt;  ET for the intended application  -&gt;  ET for that application in this organization</w:t>
            </w:r>
          </w:p>
        </w:tc>
      </w:tr>
    </w:tbl>
    <w:p>
      <w:r>
        <w:t>The organization does not change the general evidence about the technology. It changes what that evidence means for the application, the acceptable uncertainty, the timing, and the management action. Every specialist must keep those levels distinct.</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6"/>
              </w:rPr>
              <w:t>Common input</w:t>
            </w:r>
          </w:p>
        </w:tc>
        <w:tc>
          <w:tcPr>
            <w:tcW w:type="dxa" w:w="5227"/>
            <w:tcMar>
              <w:top w:w="70" w:type="dxa"/>
              <w:start w:w="90" w:type="dxa"/>
              <w:bottom w:w="70" w:type="dxa"/>
              <w:end w:w="90" w:type="dxa"/>
            </w:tcMar>
            <w:vAlign w:val="top"/>
            <w:shd w:fill="57068C"/>
          </w:tcPr>
          <w:p>
            <w:pPr>
              <w:spacing w:after="20"/>
            </w:pPr>
            <w:r>
              <w:rPr>
                <w:b/>
                <w:color w:val="FFFFFF"/>
                <w:sz w:val="16"/>
              </w:rPr>
              <w:t>What it means</w:t>
            </w:r>
          </w:p>
        </w:tc>
      </w:tr>
      <w:tr>
        <w:tc>
          <w:tcPr>
            <w:tcW w:type="dxa" w:w="5227"/>
            <w:tcMar>
              <w:top w:w="70" w:type="dxa"/>
              <w:start w:w="90" w:type="dxa"/>
              <w:bottom w:w="70" w:type="dxa"/>
              <w:end w:w="90" w:type="dxa"/>
            </w:tcMar>
            <w:vAlign w:val="top"/>
          </w:tcPr>
          <w:p>
            <w:pPr>
              <w:spacing w:after="20"/>
            </w:pPr>
            <w:r>
              <w:rPr>
                <w:sz w:val="16"/>
              </w:rPr>
              <w:t>Emerging technology</w:t>
            </w:r>
          </w:p>
        </w:tc>
        <w:tc>
          <w:tcPr>
            <w:tcW w:type="dxa" w:w="5227"/>
            <w:tcMar>
              <w:top w:w="70" w:type="dxa"/>
              <w:start w:w="90" w:type="dxa"/>
              <w:bottom w:w="70" w:type="dxa"/>
              <w:end w:w="90" w:type="dxa"/>
            </w:tcMar>
            <w:vAlign w:val="top"/>
          </w:tcPr>
          <w:p>
            <w:pPr>
              <w:spacing w:after="20"/>
            </w:pPr>
            <w:r>
              <w:rPr>
                <w:sz w:val="16"/>
              </w:rPr>
              <w:t>The ET being evaluated.</w:t>
            </w:r>
          </w:p>
        </w:tc>
      </w:tr>
      <w:tr>
        <w:tc>
          <w:tcPr>
            <w:tcW w:type="dxa" w:w="5227"/>
            <w:tcMar>
              <w:top w:w="70" w:type="dxa"/>
              <w:start w:w="90" w:type="dxa"/>
              <w:bottom w:w="70" w:type="dxa"/>
              <w:end w:w="90" w:type="dxa"/>
            </w:tcMar>
            <w:vAlign w:val="top"/>
          </w:tcPr>
          <w:p>
            <w:pPr>
              <w:spacing w:after="20"/>
            </w:pPr>
            <w:r>
              <w:rPr>
                <w:sz w:val="16"/>
              </w:rPr>
              <w:t>Intended application</w:t>
            </w:r>
          </w:p>
        </w:tc>
        <w:tc>
          <w:tcPr>
            <w:tcW w:type="dxa" w:w="5227"/>
            <w:tcMar>
              <w:top w:w="70" w:type="dxa"/>
              <w:start w:w="90" w:type="dxa"/>
              <w:bottom w:w="70" w:type="dxa"/>
              <w:end w:w="90" w:type="dxa"/>
            </w:tcMar>
            <w:vAlign w:val="top"/>
          </w:tcPr>
          <w:p>
            <w:pPr>
              <w:spacing w:after="20"/>
            </w:pPr>
            <w:r>
              <w:rPr>
                <w:sz w:val="16"/>
              </w:rPr>
              <w:t>The specific organizational use being contemplated.</w:t>
            </w:r>
          </w:p>
        </w:tc>
      </w:tr>
      <w:tr>
        <w:tc>
          <w:tcPr>
            <w:tcW w:type="dxa" w:w="5227"/>
            <w:tcMar>
              <w:top w:w="70" w:type="dxa"/>
              <w:start w:w="90" w:type="dxa"/>
              <w:bottom w:w="70" w:type="dxa"/>
              <w:end w:w="90" w:type="dxa"/>
            </w:tcMar>
            <w:vAlign w:val="top"/>
          </w:tcPr>
          <w:p>
            <w:pPr>
              <w:spacing w:after="20"/>
            </w:pPr>
            <w:r>
              <w:rPr>
                <w:sz w:val="16"/>
              </w:rPr>
              <w:t>Organization / industry</w:t>
            </w:r>
          </w:p>
        </w:tc>
        <w:tc>
          <w:tcPr>
            <w:tcW w:type="dxa" w:w="5227"/>
            <w:tcMar>
              <w:top w:w="70" w:type="dxa"/>
              <w:start w:w="90" w:type="dxa"/>
              <w:bottom w:w="70" w:type="dxa"/>
              <w:end w:w="90" w:type="dxa"/>
            </w:tcMar>
            <w:vAlign w:val="top"/>
          </w:tcPr>
          <w:p>
            <w:pPr>
              <w:spacing w:after="20"/>
            </w:pPr>
            <w:r>
              <w:rPr>
                <w:sz w:val="16"/>
              </w:rPr>
              <w:t>The organization type, operating environment, users, capabilities, and constraints.</w:t>
            </w:r>
          </w:p>
        </w:tc>
      </w:tr>
      <w:tr>
        <w:tc>
          <w:tcPr>
            <w:tcW w:type="dxa" w:w="5227"/>
            <w:tcMar>
              <w:top w:w="70" w:type="dxa"/>
              <w:start w:w="90" w:type="dxa"/>
              <w:bottom w:w="70" w:type="dxa"/>
              <w:end w:w="90" w:type="dxa"/>
            </w:tcMar>
            <w:vAlign w:val="top"/>
          </w:tcPr>
          <w:p>
            <w:pPr>
              <w:spacing w:after="20"/>
            </w:pPr>
            <w:r>
              <w:rPr>
                <w:sz w:val="16"/>
              </w:rPr>
              <w:t>Adoption posture</w:t>
            </w:r>
          </w:p>
        </w:tc>
        <w:tc>
          <w:tcPr>
            <w:tcW w:type="dxa" w:w="5227"/>
            <w:tcMar>
              <w:top w:w="70" w:type="dxa"/>
              <w:start w:w="90" w:type="dxa"/>
              <w:bottom w:w="70" w:type="dxa"/>
              <w:end w:w="90" w:type="dxa"/>
            </w:tcMar>
            <w:vAlign w:val="top"/>
          </w:tcPr>
          <w:p>
            <w:pPr>
              <w:spacing w:after="20"/>
            </w:pPr>
            <w:r>
              <w:rPr>
                <w:sz w:val="16"/>
              </w:rPr>
              <w:t>Aggressive/leading-edge, moderate/fast-follower, conservative/risk-averse, or another justified posture.</w:t>
            </w:r>
          </w:p>
        </w:tc>
      </w:tr>
      <w:tr>
        <w:tc>
          <w:tcPr>
            <w:tcW w:type="dxa" w:w="5227"/>
            <w:tcMar>
              <w:top w:w="70" w:type="dxa"/>
              <w:start w:w="90" w:type="dxa"/>
              <w:bottom w:w="70" w:type="dxa"/>
              <w:end w:w="90" w:type="dxa"/>
            </w:tcMar>
            <w:vAlign w:val="top"/>
          </w:tcPr>
          <w:p>
            <w:pPr>
              <w:spacing w:after="20"/>
            </w:pPr>
            <w:r>
              <w:rPr>
                <w:sz w:val="16"/>
              </w:rPr>
              <w:t>Risk / consequence context</w:t>
            </w:r>
          </w:p>
        </w:tc>
        <w:tc>
          <w:tcPr>
            <w:tcW w:type="dxa" w:w="5227"/>
            <w:tcMar>
              <w:top w:w="70" w:type="dxa"/>
              <w:start w:w="90" w:type="dxa"/>
              <w:bottom w:w="70" w:type="dxa"/>
              <w:end w:w="90" w:type="dxa"/>
            </w:tcMar>
            <w:vAlign w:val="top"/>
          </w:tcPr>
          <w:p>
            <w:pPr>
              <w:spacing w:after="20"/>
            </w:pPr>
            <w:r>
              <w:rPr>
                <w:sz w:val="16"/>
              </w:rPr>
              <w:t>Important regulatory, safety, financial, privacy, operational, or reputational consequences.</w:t>
            </w:r>
          </w:p>
        </w:tc>
      </w:tr>
      <w:tr>
        <w:tc>
          <w:tcPr>
            <w:tcW w:type="dxa" w:w="5227"/>
            <w:tcMar>
              <w:top w:w="70" w:type="dxa"/>
              <w:start w:w="90" w:type="dxa"/>
              <w:bottom w:w="70" w:type="dxa"/>
              <w:end w:w="90" w:type="dxa"/>
            </w:tcMar>
            <w:vAlign w:val="top"/>
          </w:tcPr>
          <w:p>
            <w:pPr>
              <w:spacing w:after="20"/>
            </w:pPr>
            <w:r>
              <w:rPr>
                <w:sz w:val="16"/>
              </w:rPr>
              <w:t>Management question / time horizon</w:t>
            </w:r>
          </w:p>
        </w:tc>
        <w:tc>
          <w:tcPr>
            <w:tcW w:type="dxa" w:w="5227"/>
            <w:tcMar>
              <w:top w:w="70" w:type="dxa"/>
              <w:start w:w="90" w:type="dxa"/>
              <w:bottom w:w="70" w:type="dxa"/>
              <w:end w:w="90" w:type="dxa"/>
            </w:tcMar>
            <w:vAlign w:val="top"/>
          </w:tcPr>
          <w:p>
            <w:pPr>
              <w:spacing w:after="20"/>
            </w:pPr>
            <w:r>
              <w:rPr>
                <w:sz w:val="16"/>
              </w:rPr>
              <w:t>What management is deciding now and over what period.</w:t>
            </w:r>
          </w:p>
        </w:tc>
      </w:tr>
    </w:tbl>
    <w:p>
      <w:r>
        <w:rPr>
          <w:b/>
        </w:rPr>
        <w:t xml:space="preserve">Common output: </w:t>
      </w:r>
      <w:r>
        <w:t>general ET finding; application finding; organization-specific finding; evidence; contrary evidence/limitations; confidence/uncertainty; value and risk implications; bounded management recommendation; and change/monitoring triggers.</w:t>
      </w:r>
    </w:p>
    <w:p>
      <w:pPr>
        <w:pStyle w:val="Heading1"/>
      </w:pPr>
      <w:r>
        <w:t>4. Weekly Workflow</w:t>
      </w:r>
    </w:p>
    <w:p>
      <w:pPr>
        <w:pStyle w:val="ListNumber"/>
      </w:pPr>
      <w:r>
        <w:rPr>
          <w:b/>
        </w:rPr>
        <w:t xml:space="preserve">Download and preserve the original. </w:t>
      </w:r>
      <w:r>
        <w:t>Download the frozen ZIP from Brightspace and keep that copy unchanged. Unzip a separate working copy.</w:t>
      </w:r>
    </w:p>
    <w:p>
      <w:pPr>
        <w:pStyle w:val="ListNumber"/>
      </w:pPr>
      <w:r>
        <w:rPr>
          <w:b/>
        </w:rPr>
        <w:t xml:space="preserve">Create your working repository. </w:t>
      </w:r>
      <w:r>
        <w:t>Place the working copy in your own GitHub repository. Create an assignment-specific branch or otherwise preserve a clear commit/version record.</w:t>
      </w:r>
    </w:p>
    <w:p>
      <w:pPr>
        <w:pStyle w:val="ListNumber"/>
      </w:pPr>
      <w:r>
        <w:rPr>
          <w:b/>
        </w:rPr>
        <w:t xml:space="preserve">Give ChatGPT/Codex the assignment and scaffold. </w:t>
      </w:r>
      <w:r>
        <w:t>Upload the weekly assignment memo and the working scaffold files it needs. Ask Codex to inspect the structure before changing anything.</w:t>
      </w:r>
    </w:p>
    <w:p>
      <w:pPr>
        <w:pStyle w:val="ListNumber"/>
      </w:pPr>
      <w:r>
        <w:rPr>
          <w:b/>
        </w:rPr>
        <w:t xml:space="preserve">Specialize - do not reinvent. </w:t>
      </w:r>
      <w:r>
        <w:t>Direct Codex to preserve the FROZEN CORE and implement only the specialist analytical logic required by the weekly assignment.</w:t>
      </w:r>
    </w:p>
    <w:p>
      <w:pPr>
        <w:pStyle w:val="ListNumber"/>
      </w:pPr>
      <w:r>
        <w:rPr>
          <w:b/>
        </w:rPr>
        <w:t xml:space="preserve">Build the prompt packet. </w:t>
      </w:r>
      <w:r>
        <w:t>Use the included local script to combine the common scaffold, your specialist instructions, and a test case into a ChatGPT-ready prompt packet.</w:t>
      </w:r>
    </w:p>
    <w:p>
      <w:pPr>
        <w:pStyle w:val="ListNumber"/>
      </w:pPr>
      <w:r>
        <w:rPr>
          <w:b/>
        </w:rPr>
        <w:t xml:space="preserve">Run the specialist in ChatGPT. </w:t>
      </w:r>
      <w:r>
        <w:t>Submit the prompt packet to ChatGPT. Save the returned structured JSON response into your working copy.</w:t>
      </w:r>
    </w:p>
    <w:p>
      <w:pPr>
        <w:pStyle w:val="ListNumber"/>
      </w:pPr>
      <w:r>
        <w:rPr>
          <w:b/>
        </w:rPr>
        <w:t xml:space="preserve">Validate and test. </w:t>
      </w:r>
      <w:r>
        <w:t>Use the included validator, then repeat with contrasting application/organization cases. Save representative inputs and outputs.</w:t>
      </w:r>
    </w:p>
    <w:p>
      <w:pPr>
        <w:pStyle w:val="ListNumber"/>
      </w:pPr>
      <w:r>
        <w:rPr>
          <w:b/>
        </w:rPr>
        <w:t xml:space="preserve">Diagnose and revise. </w:t>
      </w:r>
      <w:r>
        <w:t>Find at least one weak, generic, unsupported, or context-insensitive result. Use ChatGPT/Codex to help diagnose it, then decide what change is warranted.</w:t>
      </w:r>
    </w:p>
    <w:p>
      <w:pPr>
        <w:pStyle w:val="ListNumber"/>
      </w:pPr>
      <w:r>
        <w:rPr>
          <w:b/>
        </w:rPr>
        <w:t xml:space="preserve">Commit and submit evidence. </w:t>
      </w:r>
      <w:r>
        <w:t>Commit the final candidate agent and record the repository, branch, commit, tests, important revision, remaining limitation, and your independent judgment.</w:t>
      </w:r>
    </w:p>
    <w:p>
      <w:pPr>
        <w:pStyle w:val="Heading2"/>
      </w:pPr>
      <w:r>
        <w:t>Starter Instruction for ChatGPT/Codex</w:t>
      </w:r>
    </w:p>
    <w:p>
      <w:r>
        <w:t>I am building the [NAME OF SPECIALIST AGENT] for MASY1-GC 1800 Emerging Technologies. I have provided the weekly assignment instructions and the frozen Common Emerging Technology Agent Scaffold. Inspect the scaffold first. Preserve the FROZEN CORE, common input schema, and common output schema. Specialize only the student-editable agent files for this week's analytical framework. The agent must distinguish (1) the ET generally, (2) the ET for the intended application, and (3) the ET for that application in the specified organization/adoption posture. Tell me which files you propose to change and why before changing them. Then help me build the prompt packet, run the required contrast tests, diagnose weaknesses, and preserve the final evidence.</w:t>
      </w:r>
    </w:p>
    <w:p>
      <w:pPr>
        <w:pStyle w:val="Heading1"/>
      </w:pPr>
      <w:r>
        <w:t>5. Testing and Submission Standard</w:t>
      </w:r>
    </w:p>
    <w:p>
      <w:pPr>
        <w:pStyle w:val="ListBullet"/>
      </w:pPr>
      <w:r>
        <w:t>Test at least two materially different contexts; three are preferred when time permits.</w:t>
      </w:r>
    </w:p>
    <w:p>
      <w:pPr>
        <w:pStyle w:val="ListBullet"/>
      </w:pPr>
      <w:r>
        <w:t>Hold the ET constant while changing the application, organizational context, consequence level, or adoption posture enough that some contextual conclusions should change.</w:t>
      </w:r>
    </w:p>
    <w:p>
      <w:pPr>
        <w:pStyle w:val="ListBullet"/>
      </w:pPr>
      <w:r>
        <w:t>Identify one conclusion that appropriately stayed stable and one that appropriately changed.</w:t>
      </w:r>
    </w:p>
    <w:p>
      <w:pPr>
        <w:pStyle w:val="ListBullet"/>
      </w:pPr>
      <w:r>
        <w:t>Preserve at least one failure or weakness and the revision you made in response. Do not change the test merely to make the agent look successful.</w:t>
      </w:r>
    </w:p>
    <w:p>
      <w:pPr>
        <w:pStyle w:val="ListBullet"/>
      </w:pPr>
      <w:r>
        <w:t>Verify consequential current claims using appropriate original sources. ChatGPT output is not evidence by itself.</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6"/>
              </w:rPr>
              <w:t>Submit / preserve</w:t>
            </w:r>
          </w:p>
        </w:tc>
        <w:tc>
          <w:tcPr>
            <w:tcW w:type="dxa" w:w="5227"/>
            <w:tcMar>
              <w:top w:w="70" w:type="dxa"/>
              <w:start w:w="90" w:type="dxa"/>
              <w:bottom w:w="70" w:type="dxa"/>
              <w:end w:w="90" w:type="dxa"/>
            </w:tcMar>
            <w:vAlign w:val="top"/>
            <w:shd w:fill="57068C"/>
          </w:tcPr>
          <w:p>
            <w:pPr>
              <w:spacing w:after="20"/>
            </w:pPr>
            <w:r>
              <w:rPr>
                <w:b/>
                <w:color w:val="FFFFFF"/>
                <w:sz w:val="16"/>
              </w:rPr>
              <w:t>Minimum evidence</w:t>
            </w:r>
          </w:p>
        </w:tc>
      </w:tr>
      <w:tr>
        <w:tc>
          <w:tcPr>
            <w:tcW w:type="dxa" w:w="5227"/>
            <w:tcMar>
              <w:top w:w="70" w:type="dxa"/>
              <w:start w:w="90" w:type="dxa"/>
              <w:bottom w:w="70" w:type="dxa"/>
              <w:end w:w="90" w:type="dxa"/>
            </w:tcMar>
            <w:vAlign w:val="top"/>
          </w:tcPr>
          <w:p>
            <w:pPr>
              <w:spacing w:after="20"/>
            </w:pPr>
            <w:r>
              <w:rPr>
                <w:sz w:val="16"/>
              </w:rPr>
              <w:t>Working agent</w:t>
            </w:r>
          </w:p>
        </w:tc>
        <w:tc>
          <w:tcPr>
            <w:tcW w:type="dxa" w:w="5227"/>
            <w:tcMar>
              <w:top w:w="70" w:type="dxa"/>
              <w:start w:w="90" w:type="dxa"/>
              <w:bottom w:w="70" w:type="dxa"/>
              <w:end w:w="90" w:type="dxa"/>
            </w:tcMar>
            <w:vAlign w:val="top"/>
          </w:tcPr>
          <w:p>
            <w:pPr>
              <w:spacing w:after="20"/>
            </w:pPr>
            <w:r>
              <w:rPr>
                <w:sz w:val="16"/>
              </w:rPr>
              <w:t>Specialist files created from the frozen scaffold.</w:t>
            </w:r>
          </w:p>
        </w:tc>
      </w:tr>
      <w:tr>
        <w:tc>
          <w:tcPr>
            <w:tcW w:type="dxa" w:w="5227"/>
            <w:tcMar>
              <w:top w:w="70" w:type="dxa"/>
              <w:start w:w="90" w:type="dxa"/>
              <w:bottom w:w="70" w:type="dxa"/>
              <w:end w:w="90" w:type="dxa"/>
            </w:tcMar>
            <w:vAlign w:val="top"/>
          </w:tcPr>
          <w:p>
            <w:pPr>
              <w:spacing w:after="20"/>
            </w:pPr>
            <w:r>
              <w:rPr>
                <w:sz w:val="16"/>
              </w:rPr>
              <w:t>Version record</w:t>
            </w:r>
          </w:p>
        </w:tc>
        <w:tc>
          <w:tcPr>
            <w:tcW w:type="dxa" w:w="5227"/>
            <w:tcMar>
              <w:top w:w="70" w:type="dxa"/>
              <w:start w:w="90" w:type="dxa"/>
              <w:bottom w:w="70" w:type="dxa"/>
              <w:end w:w="90" w:type="dxa"/>
            </w:tcMar>
            <w:vAlign w:val="top"/>
          </w:tcPr>
          <w:p>
            <w:pPr>
              <w:spacing w:after="20"/>
            </w:pPr>
            <w:r>
              <w:rPr>
                <w:sz w:val="16"/>
              </w:rPr>
              <w:t>Your GitHub repository, branch, and commit.</w:t>
            </w:r>
          </w:p>
        </w:tc>
      </w:tr>
      <w:tr>
        <w:tc>
          <w:tcPr>
            <w:tcW w:type="dxa" w:w="5227"/>
            <w:tcMar>
              <w:top w:w="70" w:type="dxa"/>
              <w:start w:w="90" w:type="dxa"/>
              <w:bottom w:w="70" w:type="dxa"/>
              <w:end w:w="90" w:type="dxa"/>
            </w:tcMar>
            <w:vAlign w:val="top"/>
          </w:tcPr>
          <w:p>
            <w:pPr>
              <w:spacing w:after="20"/>
            </w:pPr>
            <w:r>
              <w:rPr>
                <w:sz w:val="16"/>
              </w:rPr>
              <w:t>Test record</w:t>
            </w:r>
          </w:p>
        </w:tc>
        <w:tc>
          <w:tcPr>
            <w:tcW w:type="dxa" w:w="5227"/>
            <w:tcMar>
              <w:top w:w="70" w:type="dxa"/>
              <w:start w:w="90" w:type="dxa"/>
              <w:bottom w:w="70" w:type="dxa"/>
              <w:end w:w="90" w:type="dxa"/>
            </w:tcMar>
            <w:vAlign w:val="top"/>
          </w:tcPr>
          <w:p>
            <w:pPr>
              <w:spacing w:after="20"/>
            </w:pPr>
            <w:r>
              <w:rPr>
                <w:sz w:val="16"/>
              </w:rPr>
              <w:t>Primary and contrast cases with representative structured outputs.</w:t>
            </w:r>
          </w:p>
        </w:tc>
      </w:tr>
      <w:tr>
        <w:tc>
          <w:tcPr>
            <w:tcW w:type="dxa" w:w="5227"/>
            <w:tcMar>
              <w:top w:w="70" w:type="dxa"/>
              <w:start w:w="90" w:type="dxa"/>
              <w:bottom w:w="70" w:type="dxa"/>
              <w:end w:w="90" w:type="dxa"/>
            </w:tcMar>
            <w:vAlign w:val="top"/>
          </w:tcPr>
          <w:p>
            <w:pPr>
              <w:spacing w:after="20"/>
            </w:pPr>
            <w:r>
              <w:rPr>
                <w:sz w:val="16"/>
              </w:rPr>
              <w:t>Revision evidence</w:t>
            </w:r>
          </w:p>
        </w:tc>
        <w:tc>
          <w:tcPr>
            <w:tcW w:type="dxa" w:w="5227"/>
            <w:tcMar>
              <w:top w:w="70" w:type="dxa"/>
              <w:start w:w="90" w:type="dxa"/>
              <w:bottom w:w="70" w:type="dxa"/>
              <w:end w:w="90" w:type="dxa"/>
            </w:tcMar>
            <w:vAlign w:val="top"/>
          </w:tcPr>
          <w:p>
            <w:pPr>
              <w:spacing w:after="20"/>
            </w:pPr>
            <w:r>
              <w:rPr>
                <w:sz w:val="16"/>
              </w:rPr>
              <w:t>One important weakness and what you changed.</w:t>
            </w:r>
          </w:p>
        </w:tc>
      </w:tr>
      <w:tr>
        <w:tc>
          <w:tcPr>
            <w:tcW w:type="dxa" w:w="5227"/>
            <w:tcMar>
              <w:top w:w="70" w:type="dxa"/>
              <w:start w:w="90" w:type="dxa"/>
              <w:bottom w:w="70" w:type="dxa"/>
              <w:end w:w="90" w:type="dxa"/>
            </w:tcMar>
            <w:vAlign w:val="top"/>
          </w:tcPr>
          <w:p>
            <w:pPr>
              <w:spacing w:after="20"/>
            </w:pPr>
            <w:r>
              <w:rPr>
                <w:sz w:val="16"/>
              </w:rPr>
              <w:t>Independent judgment</w:t>
            </w:r>
          </w:p>
        </w:tc>
        <w:tc>
          <w:tcPr>
            <w:tcW w:type="dxa" w:w="5227"/>
            <w:tcMar>
              <w:top w:w="70" w:type="dxa"/>
              <w:start w:w="90" w:type="dxa"/>
              <w:bottom w:w="70" w:type="dxa"/>
              <w:end w:w="90" w:type="dxa"/>
            </w:tcMar>
            <w:vAlign w:val="top"/>
          </w:tcPr>
          <w:p>
            <w:pPr>
              <w:spacing w:after="20"/>
            </w:pPr>
            <w:r>
              <w:rPr>
                <w:sz w:val="16"/>
              </w:rPr>
              <w:t>Whether the agent performs its specialist role adequately and the most important remaining limitation.</w:t>
            </w:r>
          </w:p>
        </w:tc>
      </w:tr>
      <w:tr>
        <w:tc>
          <w:tcPr>
            <w:tcW w:type="dxa" w:w="5227"/>
            <w:tcMar>
              <w:top w:w="70" w:type="dxa"/>
              <w:start w:w="90" w:type="dxa"/>
              <w:bottom w:w="70" w:type="dxa"/>
              <w:end w:w="90" w:type="dxa"/>
            </w:tcMar>
            <w:vAlign w:val="top"/>
          </w:tcPr>
          <w:p>
            <w:pPr>
              <w:spacing w:after="20"/>
            </w:pPr>
            <w:r>
              <w:rPr>
                <w:sz w:val="16"/>
              </w:rPr>
              <w:t>AI / verification note</w:t>
            </w:r>
          </w:p>
        </w:tc>
        <w:tc>
          <w:tcPr>
            <w:tcW w:type="dxa" w:w="5227"/>
            <w:tcMar>
              <w:top w:w="70" w:type="dxa"/>
              <w:start w:w="90" w:type="dxa"/>
              <w:bottom w:w="70" w:type="dxa"/>
              <w:end w:w="90" w:type="dxa"/>
            </w:tcMar>
            <w:vAlign w:val="top"/>
          </w:tcPr>
          <w:p>
            <w:pPr>
              <w:spacing w:after="20"/>
            </w:pPr>
            <w:r>
              <w:rPr>
                <w:sz w:val="16"/>
              </w:rPr>
              <w:t>How ChatGPT/Codex materially helped and how consequential claims or technical guidance were checked.</w:t>
            </w:r>
          </w:p>
        </w:tc>
      </w:tr>
    </w:tbl>
    <w:p>
      <w:r>
        <w:rPr>
          <w:b/>
        </w:rPr>
        <w:t xml:space="preserve">Boundaries: </w:t>
      </w:r>
      <w:r>
        <w:t>Do not modify FROZEN CORE files unless an assignment explicitly authorizes an architectural change. Do not purchase or configure an OpenAI API account for the standard course workflow. The scaffold intentionally uses ChatGPT as the interactive model runtime and local code only for prompt construction, versioning, and validation.</w:t>
      </w:r>
    </w:p>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Common Agent Scaffold - Student Operating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8"/>
    </w:rPr>
  </w:style>
  <w:style w:type="paragraph" w:styleId="Heading1">
    <w:name w:val="heading 1"/>
    <w:basedOn w:val="Normal"/>
    <w:next w:val="Normal"/>
    <w:link w:val="Heading1Char"/>
    <w:uiPriority w:val="9"/>
    <w:qFormat/>
    <w:rsid w:val="00FC693F"/>
    <w:pPr>
      <w:keepNext/>
      <w:keepLines/>
      <w:spacing w:after="40" w:before="8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Emerging Technology Agent Scaffold - Student Operating Guide</dc:title>
  <dc:subject>Student guide for the frozen Emerging Technologies specialist-agent scaffold</dc:subject>
  <dc:creator>Andres Fortino</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