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F72" w:rsidRPr="00B31F72" w:rsidRDefault="00B31F72" w:rsidP="00B31F72">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B31F72">
        <w:rPr>
          <w:rFonts w:ascii="Trebuchet MS" w:eastAsia="宋体" w:hAnsi="Trebuchet MS" w:cs="宋体"/>
          <w:caps/>
          <w:color w:val="000000"/>
          <w:kern w:val="36"/>
          <w:sz w:val="27"/>
          <w:szCs w:val="27"/>
        </w:rPr>
        <w:t>MARKET ELASTICITY</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proofErr w:type="gramStart"/>
      <w:r w:rsidRPr="00B31F72">
        <w:rPr>
          <w:rFonts w:ascii="Helvetica" w:eastAsia="宋体" w:hAnsi="Helvetica" w:cs="Helvetica"/>
          <w:color w:val="444444"/>
          <w:kern w:val="0"/>
          <w:sz w:val="20"/>
          <w:szCs w:val="20"/>
        </w:rPr>
        <w:t>This topic for experienced GMC-players only, because information requires serious skills and background.</w:t>
      </w:r>
      <w:proofErr w:type="gramEnd"/>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We have already understood </w:t>
      </w:r>
      <w:hyperlink r:id="rId8" w:history="1">
        <w:r w:rsidRPr="00B31F72">
          <w:rPr>
            <w:rFonts w:ascii="Helvetica" w:eastAsia="宋体" w:hAnsi="Helvetica" w:cs="Helvetica"/>
            <w:color w:val="54B016"/>
            <w:kern w:val="0"/>
            <w:sz w:val="20"/>
            <w:szCs w:val="20"/>
            <w:u w:val="single"/>
            <w:bdr w:val="none" w:sz="0" w:space="0" w:color="auto" w:frame="1"/>
          </w:rPr>
          <w:t>how to test factors</w:t>
        </w:r>
      </w:hyperlink>
      <w:r w:rsidRPr="00B31F72">
        <w:rPr>
          <w:rFonts w:ascii="Helvetica" w:eastAsia="宋体" w:hAnsi="Helvetica" w:cs="Helvetica"/>
          <w:color w:val="444444"/>
          <w:kern w:val="0"/>
          <w:sz w:val="20"/>
          <w:szCs w:val="20"/>
        </w:rPr>
        <w:t xml:space="preserve">, now </w:t>
      </w:r>
      <w:proofErr w:type="spellStart"/>
      <w:proofErr w:type="gramStart"/>
      <w:r w:rsidRPr="00B31F72">
        <w:rPr>
          <w:rFonts w:ascii="Helvetica" w:eastAsia="宋体" w:hAnsi="Helvetica" w:cs="Helvetica"/>
          <w:color w:val="444444"/>
          <w:kern w:val="0"/>
          <w:sz w:val="20"/>
          <w:szCs w:val="20"/>
        </w:rPr>
        <w:t>lets</w:t>
      </w:r>
      <w:proofErr w:type="spellEnd"/>
      <w:proofErr w:type="gramEnd"/>
      <w:r w:rsidRPr="00B31F72">
        <w:rPr>
          <w:rFonts w:ascii="Helvetica" w:eastAsia="宋体" w:hAnsi="Helvetica" w:cs="Helvetica"/>
          <w:color w:val="444444"/>
          <w:kern w:val="0"/>
          <w:sz w:val="20"/>
          <w:szCs w:val="20"/>
        </w:rPr>
        <w:t xml:space="preserve"> look at basic principles of market mechanic in the GMC simulator. Experienced players know that impact of demand factors to increase sales of their products is very different between groups with weak and strong competitors. In first rounds of the championship experienced teams have not got worthy opponents in the group and sales go up the hill. But in semifinal weak teams eliminated and teams begin a persistent struggle for the leadership. In this case, if we make the same decisions as in first rounds, sales will grow less. That is because elasticity of the demand factors decreased, competition in the group became stronger. Why it happens and how to forecast sales in future periods?</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xml:space="preserve">Previously, we estimated </w:t>
      </w:r>
      <w:proofErr w:type="spellStart"/>
      <w:r w:rsidRPr="00B31F72">
        <w:rPr>
          <w:rFonts w:ascii="Helvetica" w:eastAsia="宋体" w:hAnsi="Helvetica" w:cs="Helvetica"/>
          <w:color w:val="444444"/>
          <w:kern w:val="0"/>
          <w:sz w:val="20"/>
          <w:szCs w:val="20"/>
        </w:rPr>
        <w:t>elasticities</w:t>
      </w:r>
      <w:proofErr w:type="spellEnd"/>
      <w:r w:rsidRPr="00B31F72">
        <w:rPr>
          <w:rFonts w:ascii="Helvetica" w:eastAsia="宋体" w:hAnsi="Helvetica" w:cs="Helvetica"/>
          <w:color w:val="444444"/>
          <w:kern w:val="0"/>
          <w:sz w:val="20"/>
          <w:szCs w:val="20"/>
        </w:rPr>
        <w:t xml:space="preserve"> for direct and corporate advertising in 1 period for each scenario. But elasticity of demand factors is not constant and depends on the strength of competitors in the group. It means elasticity for elasticity of factors. </w:t>
      </w:r>
      <w:proofErr w:type="spellStart"/>
      <w:proofErr w:type="gramStart"/>
      <w:r w:rsidRPr="00B31F72">
        <w:rPr>
          <w:rFonts w:ascii="Helvetica" w:eastAsia="宋体" w:hAnsi="Helvetica" w:cs="Helvetica"/>
          <w:color w:val="444444"/>
          <w:kern w:val="0"/>
          <w:sz w:val="20"/>
          <w:szCs w:val="20"/>
        </w:rPr>
        <w:t>Lets</w:t>
      </w:r>
      <w:proofErr w:type="spellEnd"/>
      <w:proofErr w:type="gramEnd"/>
      <w:r w:rsidRPr="00B31F72">
        <w:rPr>
          <w:rFonts w:ascii="Helvetica" w:eastAsia="宋体" w:hAnsi="Helvetica" w:cs="Helvetica"/>
          <w:color w:val="444444"/>
          <w:kern w:val="0"/>
          <w:sz w:val="20"/>
          <w:szCs w:val="20"/>
        </w:rPr>
        <w:t xml:space="preserve"> check price elasticity in 1 period on scenario 12C1 and 12C3.</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r w:rsidRPr="00B31F72">
        <w:rPr>
          <w:rFonts w:ascii="Helvetica" w:eastAsia="宋体" w:hAnsi="Helvetica" w:cs="Helvetica"/>
          <w:b/>
          <w:bCs/>
          <w:color w:val="444444"/>
          <w:kern w:val="0"/>
          <w:sz w:val="20"/>
          <w:szCs w:val="20"/>
          <w:bdr w:val="none" w:sz="0" w:space="0" w:color="auto" w:frame="1"/>
        </w:rPr>
        <w:t>Scenario 12C1</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xml:space="preserve">In this table you can see price </w:t>
      </w:r>
      <w:proofErr w:type="spellStart"/>
      <w:r w:rsidRPr="00B31F72">
        <w:rPr>
          <w:rFonts w:ascii="Helvetica" w:eastAsia="宋体" w:hAnsi="Helvetica" w:cs="Helvetica"/>
          <w:color w:val="444444"/>
          <w:kern w:val="0"/>
          <w:sz w:val="20"/>
          <w:szCs w:val="20"/>
        </w:rPr>
        <w:t>elasticities</w:t>
      </w:r>
      <w:proofErr w:type="spellEnd"/>
      <w:r w:rsidRPr="00B31F72">
        <w:rPr>
          <w:rFonts w:ascii="Helvetica" w:eastAsia="宋体" w:hAnsi="Helvetica" w:cs="Helvetica"/>
          <w:color w:val="444444"/>
          <w:kern w:val="0"/>
          <w:sz w:val="20"/>
          <w:szCs w:val="20"/>
        </w:rPr>
        <w:t xml:space="preserve"> for scenario 12C1 - relative % change in sales when price changes by 1%. For example, prices increasing for product 1 in Internet by 1% will decrease sales by -2.175%. Data was found from multiple perfect tests and can be used unconditionally.</w:t>
      </w:r>
    </w:p>
    <w:tbl>
      <w:tblPr>
        <w:tblW w:w="0" w:type="auto"/>
        <w:shd w:val="clear" w:color="auto" w:fill="FFFFFF"/>
        <w:tblCellMar>
          <w:left w:w="0" w:type="dxa"/>
          <w:right w:w="0" w:type="dxa"/>
        </w:tblCellMar>
        <w:tblLook w:val="04A0" w:firstRow="1" w:lastRow="0" w:firstColumn="1" w:lastColumn="0" w:noHBand="0" w:noVBand="1"/>
      </w:tblPr>
      <w:tblGrid>
        <w:gridCol w:w="790"/>
        <w:gridCol w:w="857"/>
        <w:gridCol w:w="857"/>
        <w:gridCol w:w="857"/>
      </w:tblGrid>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Elasticity</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1</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2</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3</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EU</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-3,186</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-1,927</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-2,449</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proofErr w:type="spellStart"/>
            <w:r w:rsidRPr="00B31F72">
              <w:rPr>
                <w:rFonts w:ascii="Helvetica" w:eastAsia="宋体" w:hAnsi="Helvetica" w:cs="Helvetica"/>
                <w:color w:val="444444"/>
                <w:kern w:val="0"/>
                <w:sz w:val="20"/>
                <w:szCs w:val="20"/>
              </w:rPr>
              <w:t>Nafta</w:t>
            </w:r>
            <w:proofErr w:type="spellEnd"/>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-5,010</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-2,739</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-3,510</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Internet</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-2,175</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-1,418</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-1,794</w:t>
            </w:r>
          </w:p>
        </w:tc>
      </w:tr>
    </w:tbl>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proofErr w:type="gramStart"/>
      <w:r w:rsidRPr="00B31F72">
        <w:rPr>
          <w:rFonts w:ascii="Helvetica" w:eastAsia="宋体" w:hAnsi="Helvetica" w:cs="Helvetica"/>
          <w:color w:val="444444"/>
          <w:kern w:val="0"/>
          <w:sz w:val="20"/>
          <w:szCs w:val="20"/>
        </w:rPr>
        <w:t>In this table sum of market shares of all companies according to marketing information in 1 period.</w:t>
      </w:r>
      <w:proofErr w:type="gramEnd"/>
      <w:r w:rsidRPr="00B31F72">
        <w:rPr>
          <w:rFonts w:ascii="Helvetica" w:eastAsia="宋体" w:hAnsi="Helvetica" w:cs="Helvetica"/>
          <w:color w:val="444444"/>
          <w:kern w:val="0"/>
          <w:sz w:val="20"/>
          <w:szCs w:val="20"/>
        </w:rPr>
        <w:t xml:space="preserve"> </w:t>
      </w:r>
      <w:proofErr w:type="gramStart"/>
      <w:r w:rsidRPr="00B31F72">
        <w:rPr>
          <w:rFonts w:ascii="Helvetica" w:eastAsia="宋体" w:hAnsi="Helvetica" w:cs="Helvetica"/>
          <w:color w:val="444444"/>
          <w:kern w:val="0"/>
          <w:sz w:val="20"/>
          <w:szCs w:val="20"/>
        </w:rPr>
        <w:t>Amount of shares for product 1 in Internet equal to 76.2, which means that the market is occupied 76.2% by your company and competitors in the group.</w:t>
      </w:r>
      <w:proofErr w:type="gramEnd"/>
      <w:r w:rsidRPr="00B31F72">
        <w:rPr>
          <w:rFonts w:ascii="Helvetica" w:eastAsia="宋体" w:hAnsi="Helvetica" w:cs="Helvetica"/>
          <w:color w:val="444444"/>
          <w:kern w:val="0"/>
          <w:sz w:val="20"/>
          <w:szCs w:val="20"/>
        </w:rPr>
        <w:t xml:space="preserve"> Market load may vary depending on level of competitors in the group. In tests elasticity of product 1 in Internet ranged from 70% to 80%.</w:t>
      </w:r>
    </w:p>
    <w:tbl>
      <w:tblPr>
        <w:tblW w:w="0" w:type="auto"/>
        <w:shd w:val="clear" w:color="auto" w:fill="FFFFFF"/>
        <w:tblCellMar>
          <w:left w:w="0" w:type="dxa"/>
          <w:right w:w="0" w:type="dxa"/>
        </w:tblCellMar>
        <w:tblLook w:val="04A0" w:firstRow="1" w:lastRow="0" w:firstColumn="1" w:lastColumn="0" w:noHBand="0" w:noVBand="1"/>
      </w:tblPr>
      <w:tblGrid>
        <w:gridCol w:w="1045"/>
        <w:gridCol w:w="857"/>
        <w:gridCol w:w="857"/>
        <w:gridCol w:w="857"/>
      </w:tblGrid>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Market load</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1</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2</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3</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EU</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52,8</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70,6</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63,8</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proofErr w:type="spellStart"/>
            <w:r w:rsidRPr="00B31F72">
              <w:rPr>
                <w:rFonts w:ascii="Helvetica" w:eastAsia="宋体" w:hAnsi="Helvetica" w:cs="Helvetica"/>
                <w:color w:val="444444"/>
                <w:kern w:val="0"/>
                <w:sz w:val="20"/>
                <w:szCs w:val="20"/>
              </w:rPr>
              <w:t>Nafta</w:t>
            </w:r>
            <w:proofErr w:type="spellEnd"/>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40,5</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69,1</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58,9</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Internet</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76,2</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84,6</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81,8</w:t>
            </w:r>
          </w:p>
        </w:tc>
      </w:tr>
    </w:tbl>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proofErr w:type="spellStart"/>
      <w:proofErr w:type="gramStart"/>
      <w:r w:rsidRPr="00B31F72">
        <w:rPr>
          <w:rFonts w:ascii="Helvetica" w:eastAsia="宋体" w:hAnsi="Helvetica" w:cs="Helvetica"/>
          <w:color w:val="444444"/>
          <w:kern w:val="0"/>
          <w:sz w:val="20"/>
          <w:szCs w:val="20"/>
        </w:rPr>
        <w:t>Lets</w:t>
      </w:r>
      <w:proofErr w:type="spellEnd"/>
      <w:proofErr w:type="gramEnd"/>
      <w:r w:rsidRPr="00B31F72">
        <w:rPr>
          <w:rFonts w:ascii="Helvetica" w:eastAsia="宋体" w:hAnsi="Helvetica" w:cs="Helvetica"/>
          <w:color w:val="444444"/>
          <w:kern w:val="0"/>
          <w:sz w:val="20"/>
          <w:szCs w:val="20"/>
        </w:rPr>
        <w:t xml:space="preserve"> put prices elasticity and market load on graph. </w:t>
      </w:r>
      <w:proofErr w:type="gramStart"/>
      <w:r w:rsidRPr="00B31F72">
        <w:rPr>
          <w:rFonts w:ascii="Helvetica" w:eastAsia="宋体" w:hAnsi="Helvetica" w:cs="Helvetica"/>
          <w:color w:val="444444"/>
          <w:kern w:val="0"/>
          <w:sz w:val="20"/>
          <w:szCs w:val="20"/>
        </w:rPr>
        <w:t xml:space="preserve">In the graph vertically - market load (EU - blue, </w:t>
      </w:r>
      <w:proofErr w:type="spellStart"/>
      <w:r w:rsidRPr="00B31F72">
        <w:rPr>
          <w:rFonts w:ascii="Helvetica" w:eastAsia="宋体" w:hAnsi="Helvetica" w:cs="Helvetica"/>
          <w:color w:val="444444"/>
          <w:kern w:val="0"/>
          <w:sz w:val="20"/>
          <w:szCs w:val="20"/>
        </w:rPr>
        <w:t>Nafta</w:t>
      </w:r>
      <w:proofErr w:type="spellEnd"/>
      <w:r w:rsidRPr="00B31F72">
        <w:rPr>
          <w:rFonts w:ascii="Helvetica" w:eastAsia="宋体" w:hAnsi="Helvetica" w:cs="Helvetica"/>
          <w:color w:val="444444"/>
          <w:kern w:val="0"/>
          <w:sz w:val="20"/>
          <w:szCs w:val="20"/>
        </w:rPr>
        <w:t xml:space="preserve"> - green, Internet - red).</w:t>
      </w:r>
      <w:proofErr w:type="gramEnd"/>
      <w:r w:rsidRPr="00B31F72">
        <w:rPr>
          <w:rFonts w:ascii="Helvetica" w:eastAsia="宋体" w:hAnsi="Helvetica" w:cs="Helvetica"/>
          <w:color w:val="444444"/>
          <w:kern w:val="0"/>
          <w:sz w:val="20"/>
          <w:szCs w:val="20"/>
        </w:rPr>
        <w:t xml:space="preserve"> Horizontal - price elasticity in 1 period.</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4484370" cy="2719070"/>
            <wp:effectExtent l="0" t="0" r="0" b="5080"/>
            <wp:docPr id="11" name="图片 11" descr="https://gmcworld.org/files/uploads/mark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marke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370" cy="2719070"/>
                    </a:xfrm>
                    <a:prstGeom prst="rect">
                      <a:avLst/>
                    </a:prstGeom>
                    <a:noFill/>
                    <a:ln>
                      <a:noFill/>
                    </a:ln>
                  </pic:spPr>
                </pic:pic>
              </a:graphicData>
            </a:graphic>
          </wp:inline>
        </w:drawing>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proofErr w:type="gramStart"/>
      <w:r w:rsidRPr="00B31F72">
        <w:rPr>
          <w:rFonts w:ascii="Helvetica" w:eastAsia="宋体" w:hAnsi="Helvetica" w:cs="Helvetica"/>
          <w:color w:val="444444"/>
          <w:kern w:val="0"/>
          <w:sz w:val="20"/>
          <w:szCs w:val="20"/>
        </w:rPr>
        <w:t>The higher market load, the lower price elasticity.</w:t>
      </w:r>
      <w:proofErr w:type="gramEnd"/>
      <w:r w:rsidRPr="00B31F72">
        <w:rPr>
          <w:rFonts w:ascii="Helvetica" w:eastAsia="宋体" w:hAnsi="Helvetica" w:cs="Helvetica"/>
          <w:color w:val="444444"/>
          <w:kern w:val="0"/>
          <w:sz w:val="20"/>
          <w:szCs w:val="20"/>
        </w:rPr>
        <w:t xml:space="preserve"> This means that the same price change (for example, decreasing by 5 units) in weak group with lower market load you will get more sales growth than in the group with high market load.</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r w:rsidRPr="00B31F72">
        <w:rPr>
          <w:rFonts w:ascii="Helvetica" w:eastAsia="宋体" w:hAnsi="Helvetica" w:cs="Helvetica"/>
          <w:b/>
          <w:bCs/>
          <w:color w:val="444444"/>
          <w:kern w:val="0"/>
          <w:sz w:val="20"/>
          <w:szCs w:val="20"/>
          <w:bdr w:val="none" w:sz="0" w:space="0" w:color="auto" w:frame="1"/>
        </w:rPr>
        <w:t>Scenario 12C3</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proofErr w:type="spellStart"/>
      <w:proofErr w:type="gramStart"/>
      <w:r w:rsidRPr="00B31F72">
        <w:rPr>
          <w:rFonts w:ascii="Helvetica" w:eastAsia="宋体" w:hAnsi="Helvetica" w:cs="Helvetica"/>
          <w:color w:val="444444"/>
          <w:kern w:val="0"/>
          <w:sz w:val="20"/>
          <w:szCs w:val="20"/>
        </w:rPr>
        <w:t>Lets</w:t>
      </w:r>
      <w:proofErr w:type="spellEnd"/>
      <w:proofErr w:type="gramEnd"/>
      <w:r w:rsidRPr="00B31F72">
        <w:rPr>
          <w:rFonts w:ascii="Helvetica" w:eastAsia="宋体" w:hAnsi="Helvetica" w:cs="Helvetica"/>
          <w:color w:val="444444"/>
          <w:kern w:val="0"/>
          <w:sz w:val="20"/>
          <w:szCs w:val="20"/>
        </w:rPr>
        <w:t xml:space="preserve"> do the same with price elasticity from scenario 12C3.</w:t>
      </w:r>
    </w:p>
    <w:tbl>
      <w:tblPr>
        <w:tblW w:w="0" w:type="auto"/>
        <w:shd w:val="clear" w:color="auto" w:fill="FFFFFF"/>
        <w:tblCellMar>
          <w:left w:w="0" w:type="dxa"/>
          <w:right w:w="0" w:type="dxa"/>
        </w:tblCellMar>
        <w:tblLook w:val="04A0" w:firstRow="1" w:lastRow="0" w:firstColumn="1" w:lastColumn="0" w:noHBand="0" w:noVBand="1"/>
      </w:tblPr>
      <w:tblGrid>
        <w:gridCol w:w="790"/>
        <w:gridCol w:w="857"/>
        <w:gridCol w:w="857"/>
        <w:gridCol w:w="857"/>
      </w:tblGrid>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Elasticity</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1</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2</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3</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EU</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-6,372</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-6,527</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-3,400</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proofErr w:type="spellStart"/>
            <w:r w:rsidRPr="00B31F72">
              <w:rPr>
                <w:rFonts w:ascii="Helvetica" w:eastAsia="宋体" w:hAnsi="Helvetica" w:cs="Helvetica"/>
                <w:color w:val="444444"/>
                <w:kern w:val="0"/>
                <w:sz w:val="20"/>
                <w:szCs w:val="20"/>
              </w:rPr>
              <w:t>Nafta</w:t>
            </w:r>
            <w:proofErr w:type="spellEnd"/>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-6,372</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-6,527</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-3,400</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Internet</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-3,774</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-3,172</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-1,924</w:t>
            </w:r>
          </w:p>
        </w:tc>
      </w:tr>
    </w:tbl>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proofErr w:type="gramStart"/>
      <w:r w:rsidRPr="00B31F72">
        <w:rPr>
          <w:rFonts w:ascii="Helvetica" w:eastAsia="宋体" w:hAnsi="Helvetica" w:cs="Helvetica"/>
          <w:color w:val="444444"/>
          <w:kern w:val="0"/>
          <w:sz w:val="20"/>
          <w:szCs w:val="20"/>
        </w:rPr>
        <w:t>Sum of market shares of all companies according to marketing information in 1 period.</w:t>
      </w:r>
      <w:proofErr w:type="gramEnd"/>
    </w:p>
    <w:tbl>
      <w:tblPr>
        <w:tblW w:w="0" w:type="auto"/>
        <w:shd w:val="clear" w:color="auto" w:fill="FFFFFF"/>
        <w:tblCellMar>
          <w:left w:w="0" w:type="dxa"/>
          <w:right w:w="0" w:type="dxa"/>
        </w:tblCellMar>
        <w:tblLook w:val="04A0" w:firstRow="1" w:lastRow="0" w:firstColumn="1" w:lastColumn="0" w:noHBand="0" w:noVBand="1"/>
      </w:tblPr>
      <w:tblGrid>
        <w:gridCol w:w="1045"/>
        <w:gridCol w:w="857"/>
        <w:gridCol w:w="857"/>
        <w:gridCol w:w="857"/>
      </w:tblGrid>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Market load</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1</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2</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Product 3</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EU</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20,6</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20,1</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49,9</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proofErr w:type="spellStart"/>
            <w:r w:rsidRPr="00B31F72">
              <w:rPr>
                <w:rFonts w:ascii="Helvetica" w:eastAsia="宋体" w:hAnsi="Helvetica" w:cs="Helvetica"/>
                <w:color w:val="444444"/>
                <w:kern w:val="0"/>
                <w:sz w:val="20"/>
                <w:szCs w:val="20"/>
              </w:rPr>
              <w:t>Nafta</w:t>
            </w:r>
            <w:proofErr w:type="spellEnd"/>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30,4</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29,6</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62,6</w:t>
            </w:r>
          </w:p>
        </w:tc>
      </w:tr>
      <w:tr w:rsidR="00B31F72" w:rsidRPr="00B31F72" w:rsidTr="00B31F72">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Internet</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60,5</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68,4</w:t>
            </w:r>
          </w:p>
        </w:tc>
        <w:tc>
          <w:tcPr>
            <w:tcW w:w="0" w:type="auto"/>
            <w:tcBorders>
              <w:top w:val="nil"/>
              <w:left w:val="nil"/>
              <w:bottom w:val="nil"/>
              <w:right w:val="nil"/>
            </w:tcBorders>
            <w:shd w:val="clear" w:color="auto" w:fill="auto"/>
            <w:vAlign w:val="center"/>
            <w:hideMark/>
          </w:tcPr>
          <w:p w:rsidR="00B31F72" w:rsidRPr="00B31F72" w:rsidRDefault="00B31F72" w:rsidP="00B31F72">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81,8</w:t>
            </w:r>
          </w:p>
        </w:tc>
      </w:tr>
    </w:tbl>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proofErr w:type="gramStart"/>
      <w:r w:rsidRPr="00B31F72">
        <w:rPr>
          <w:rFonts w:ascii="Helvetica" w:eastAsia="宋体" w:hAnsi="Helvetica" w:cs="Helvetica"/>
          <w:color w:val="444444"/>
          <w:kern w:val="0"/>
          <w:sz w:val="20"/>
          <w:szCs w:val="20"/>
        </w:rPr>
        <w:t xml:space="preserve">In the graph vertically - market load (EU - blue, </w:t>
      </w:r>
      <w:proofErr w:type="spellStart"/>
      <w:r w:rsidRPr="00B31F72">
        <w:rPr>
          <w:rFonts w:ascii="Helvetica" w:eastAsia="宋体" w:hAnsi="Helvetica" w:cs="Helvetica"/>
          <w:color w:val="444444"/>
          <w:kern w:val="0"/>
          <w:sz w:val="20"/>
          <w:szCs w:val="20"/>
        </w:rPr>
        <w:t>Nafta</w:t>
      </w:r>
      <w:proofErr w:type="spellEnd"/>
      <w:r w:rsidRPr="00B31F72">
        <w:rPr>
          <w:rFonts w:ascii="Helvetica" w:eastAsia="宋体" w:hAnsi="Helvetica" w:cs="Helvetica"/>
          <w:color w:val="444444"/>
          <w:kern w:val="0"/>
          <w:sz w:val="20"/>
          <w:szCs w:val="20"/>
        </w:rPr>
        <w:t xml:space="preserve"> - green, Internet - red).</w:t>
      </w:r>
      <w:proofErr w:type="gramEnd"/>
      <w:r w:rsidRPr="00B31F72">
        <w:rPr>
          <w:rFonts w:ascii="Helvetica" w:eastAsia="宋体" w:hAnsi="Helvetica" w:cs="Helvetica"/>
          <w:color w:val="444444"/>
          <w:kern w:val="0"/>
          <w:sz w:val="20"/>
          <w:szCs w:val="20"/>
        </w:rPr>
        <w:t xml:space="preserve"> Horizontal - price elasticity in 1 period.</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4531995" cy="2759075"/>
            <wp:effectExtent l="0" t="0" r="1905" b="3175"/>
            <wp:docPr id="10" name="图片 10" descr="https://gmcworld.org/files/uploads/mark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market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995" cy="2759075"/>
                    </a:xfrm>
                    <a:prstGeom prst="rect">
                      <a:avLst/>
                    </a:prstGeom>
                    <a:noFill/>
                    <a:ln>
                      <a:noFill/>
                    </a:ln>
                  </pic:spPr>
                </pic:pic>
              </a:graphicData>
            </a:graphic>
          </wp:inline>
        </w:drawing>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xml:space="preserve">Analysis shows line points slight deviations from trend, market load also slightly differs between each other - the difference is about 5%, which is caused by average values of market shares in several test groups. We can conclude that probably market load in current period </w:t>
      </w:r>
      <w:proofErr w:type="spellStart"/>
      <w:r w:rsidRPr="00B31F72">
        <w:rPr>
          <w:rFonts w:ascii="Helvetica" w:eastAsia="宋体" w:hAnsi="Helvetica" w:cs="Helvetica"/>
          <w:color w:val="444444"/>
          <w:kern w:val="0"/>
          <w:sz w:val="20"/>
          <w:szCs w:val="20"/>
        </w:rPr>
        <w:t>affects</w:t>
      </w:r>
      <w:proofErr w:type="spellEnd"/>
      <w:r w:rsidRPr="00B31F72">
        <w:rPr>
          <w:rFonts w:ascii="Helvetica" w:eastAsia="宋体" w:hAnsi="Helvetica" w:cs="Helvetica"/>
          <w:color w:val="444444"/>
          <w:kern w:val="0"/>
          <w:sz w:val="20"/>
          <w:szCs w:val="20"/>
        </w:rPr>
        <w:t xml:space="preserve"> on demand factors in current period.</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proofErr w:type="gramStart"/>
      <w:r w:rsidRPr="00B31F72">
        <w:rPr>
          <w:rFonts w:ascii="Helvetica" w:eastAsia="宋体" w:hAnsi="Helvetica" w:cs="Helvetica"/>
          <w:color w:val="444444"/>
          <w:kern w:val="0"/>
          <w:sz w:val="20"/>
          <w:szCs w:val="20"/>
        </w:rPr>
        <w:t>Compatible elasticity for each market from scenarios 12C1 and 12C3 on the same graph.</w:t>
      </w:r>
      <w:proofErr w:type="gramEnd"/>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r w:rsidRPr="00B31F72">
        <w:rPr>
          <w:rFonts w:ascii="Helvetica" w:eastAsia="宋体" w:hAnsi="Helvetica" w:cs="Helvetica"/>
          <w:b/>
          <w:bCs/>
          <w:color w:val="444444"/>
          <w:kern w:val="0"/>
          <w:sz w:val="20"/>
          <w:szCs w:val="20"/>
          <w:bdr w:val="none" w:sz="0" w:space="0" w:color="auto" w:frame="1"/>
        </w:rPr>
        <w:t>EU</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4452620" cy="2361565"/>
            <wp:effectExtent l="0" t="0" r="5080" b="635"/>
            <wp:docPr id="9" name="图片 9" descr="https://gmcworld.org/files/uploads/mark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mcworld.org/files/uploads/market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2620" cy="2361565"/>
                    </a:xfrm>
                    <a:prstGeom prst="rect">
                      <a:avLst/>
                    </a:prstGeom>
                    <a:noFill/>
                    <a:ln>
                      <a:noFill/>
                    </a:ln>
                  </pic:spPr>
                </pic:pic>
              </a:graphicData>
            </a:graphic>
          </wp:inline>
        </w:drawing>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proofErr w:type="spellStart"/>
      <w:r w:rsidRPr="00B31F72">
        <w:rPr>
          <w:rFonts w:ascii="Helvetica" w:eastAsia="宋体" w:hAnsi="Helvetica" w:cs="Helvetica"/>
          <w:b/>
          <w:bCs/>
          <w:color w:val="444444"/>
          <w:kern w:val="0"/>
          <w:sz w:val="20"/>
          <w:szCs w:val="20"/>
          <w:bdr w:val="none" w:sz="0" w:space="0" w:color="auto" w:frame="1"/>
        </w:rPr>
        <w:t>Nafta</w:t>
      </w:r>
      <w:proofErr w:type="spellEnd"/>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4389120" cy="2361565"/>
            <wp:effectExtent l="0" t="0" r="0" b="635"/>
            <wp:docPr id="8" name="图片 8" descr="https://gmcworld.org/files/uploads/mark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mcworld.org/files/uploads/marke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2361565"/>
                    </a:xfrm>
                    <a:prstGeom prst="rect">
                      <a:avLst/>
                    </a:prstGeom>
                    <a:noFill/>
                    <a:ln>
                      <a:noFill/>
                    </a:ln>
                  </pic:spPr>
                </pic:pic>
              </a:graphicData>
            </a:graphic>
          </wp:inline>
        </w:drawing>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r w:rsidRPr="00B31F72">
        <w:rPr>
          <w:rFonts w:ascii="Helvetica" w:eastAsia="宋体" w:hAnsi="Helvetica" w:cs="Helvetica"/>
          <w:b/>
          <w:bCs/>
          <w:color w:val="444444"/>
          <w:kern w:val="0"/>
          <w:sz w:val="20"/>
          <w:szCs w:val="20"/>
          <w:bdr w:val="none" w:sz="0" w:space="0" w:color="auto" w:frame="1"/>
        </w:rPr>
        <w:t>Internet</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4420870" cy="2353310"/>
            <wp:effectExtent l="0" t="0" r="0" b="8890"/>
            <wp:docPr id="7" name="图片 7" descr="https://gmcworld.org/files/uploads/marke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mcworld.org/files/uploads/market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0870" cy="2353310"/>
                    </a:xfrm>
                    <a:prstGeom prst="rect">
                      <a:avLst/>
                    </a:prstGeom>
                    <a:noFill/>
                    <a:ln>
                      <a:noFill/>
                    </a:ln>
                  </pic:spPr>
                </pic:pic>
              </a:graphicData>
            </a:graphic>
          </wp:inline>
        </w:drawing>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Taking into account estimate error of price elasticity and market load, there is no difference between scenarios. Elasticity is reduced in direct proportion to the market load. When you forecast sales, it is necessary to forecast market load changes to correct influence of demand factors.</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We extend trend line to the intersection with axis OY. Continue trend line from scenario 12C1 (red) as the most clearly calculated.</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r w:rsidRPr="00B31F72">
        <w:rPr>
          <w:rFonts w:ascii="Helvetica" w:eastAsia="宋体" w:hAnsi="Helvetica" w:cs="Helvetica"/>
          <w:b/>
          <w:bCs/>
          <w:color w:val="444444"/>
          <w:kern w:val="0"/>
          <w:sz w:val="20"/>
          <w:szCs w:val="20"/>
          <w:bdr w:val="none" w:sz="0" w:space="0" w:color="auto" w:frame="1"/>
        </w:rPr>
        <w:t>EU</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4436745" cy="2353310"/>
            <wp:effectExtent l="0" t="0" r="1905" b="8890"/>
            <wp:docPr id="6" name="图片 6" descr="https://gmcworld.org/files/uploads/marke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mcworld.org/files/uploads/market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6745" cy="2353310"/>
                    </a:xfrm>
                    <a:prstGeom prst="rect">
                      <a:avLst/>
                    </a:prstGeom>
                    <a:noFill/>
                    <a:ln>
                      <a:noFill/>
                    </a:ln>
                  </pic:spPr>
                </pic:pic>
              </a:graphicData>
            </a:graphic>
          </wp:inline>
        </w:drawing>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proofErr w:type="spellStart"/>
      <w:r w:rsidRPr="00B31F72">
        <w:rPr>
          <w:rFonts w:ascii="Helvetica" w:eastAsia="宋体" w:hAnsi="Helvetica" w:cs="Helvetica"/>
          <w:b/>
          <w:bCs/>
          <w:color w:val="444444"/>
          <w:kern w:val="0"/>
          <w:sz w:val="20"/>
          <w:szCs w:val="20"/>
          <w:bdr w:val="none" w:sz="0" w:space="0" w:color="auto" w:frame="1"/>
        </w:rPr>
        <w:t>Nafta</w:t>
      </w:r>
      <w:proofErr w:type="spellEnd"/>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4452620" cy="2369185"/>
            <wp:effectExtent l="0" t="0" r="5080" b="0"/>
            <wp:docPr id="5" name="图片 5" descr="https://gmcworld.org/files/uploads/marke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mcworld.org/files/uploads/market_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2620" cy="2369185"/>
                    </a:xfrm>
                    <a:prstGeom prst="rect">
                      <a:avLst/>
                    </a:prstGeom>
                    <a:noFill/>
                    <a:ln>
                      <a:noFill/>
                    </a:ln>
                  </pic:spPr>
                </pic:pic>
              </a:graphicData>
            </a:graphic>
          </wp:inline>
        </w:drawing>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r w:rsidRPr="00B31F72">
        <w:rPr>
          <w:rFonts w:ascii="Helvetica" w:eastAsia="宋体" w:hAnsi="Helvetica" w:cs="Helvetica"/>
          <w:b/>
          <w:bCs/>
          <w:color w:val="444444"/>
          <w:kern w:val="0"/>
          <w:sz w:val="20"/>
          <w:szCs w:val="20"/>
          <w:bdr w:val="none" w:sz="0" w:space="0" w:color="auto" w:frame="1"/>
        </w:rPr>
        <w:t>Internet</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4460875" cy="2369185"/>
            <wp:effectExtent l="0" t="0" r="0" b="0"/>
            <wp:docPr id="4" name="图片 4" descr="https://gmcworld.org/files/uploads/marke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mcworld.org/files/uploads/market_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0875" cy="2369185"/>
                    </a:xfrm>
                    <a:prstGeom prst="rect">
                      <a:avLst/>
                    </a:prstGeom>
                    <a:noFill/>
                    <a:ln>
                      <a:noFill/>
                    </a:ln>
                  </pic:spPr>
                </pic:pic>
              </a:graphicData>
            </a:graphic>
          </wp:inline>
        </w:drawing>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lastRenderedPageBreak/>
        <w:t>Trend line crosses axis OY at 100. That means when trend reaches 100% market load, elasticity drops to 0. So to go beyond 100% is impossible, it is a natural mechanism that limits market expansion in GMC simulator.</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xml:space="preserve">Calculate elasticity of price elasticity for each market. For EU and </w:t>
      </w:r>
      <w:proofErr w:type="spellStart"/>
      <w:r w:rsidRPr="00B31F72">
        <w:rPr>
          <w:rFonts w:ascii="Helvetica" w:eastAsia="宋体" w:hAnsi="Helvetica" w:cs="Helvetica"/>
          <w:color w:val="444444"/>
          <w:kern w:val="0"/>
          <w:sz w:val="20"/>
          <w:szCs w:val="20"/>
        </w:rPr>
        <w:t>Nafta</w:t>
      </w:r>
      <w:proofErr w:type="spellEnd"/>
      <w:r w:rsidRPr="00B31F72">
        <w:rPr>
          <w:rFonts w:ascii="Helvetica" w:eastAsia="宋体" w:hAnsi="Helvetica" w:cs="Helvetica"/>
          <w:color w:val="444444"/>
          <w:kern w:val="0"/>
          <w:sz w:val="20"/>
          <w:szCs w:val="20"/>
        </w:rPr>
        <w:t xml:space="preserve"> I removed 2 points where was large error in estimation of market load. Add control point on axis OY - 0 elasticity, market load 100.</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r w:rsidRPr="00B31F72">
        <w:rPr>
          <w:rFonts w:ascii="Helvetica" w:eastAsia="宋体" w:hAnsi="Helvetica" w:cs="Helvetica"/>
          <w:b/>
          <w:bCs/>
          <w:color w:val="444444"/>
          <w:kern w:val="0"/>
          <w:sz w:val="20"/>
          <w:szCs w:val="20"/>
          <w:bdr w:val="none" w:sz="0" w:space="0" w:color="auto" w:frame="1"/>
        </w:rPr>
        <w:t>EU</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4452620" cy="2377440"/>
            <wp:effectExtent l="0" t="0" r="5080" b="3810"/>
            <wp:docPr id="3" name="图片 3" descr="https://gmcworld.org/files/uploads/marke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mcworld.org/files/uploads/market_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2620" cy="2377440"/>
                    </a:xfrm>
                    <a:prstGeom prst="rect">
                      <a:avLst/>
                    </a:prstGeom>
                    <a:noFill/>
                    <a:ln>
                      <a:noFill/>
                    </a:ln>
                  </pic:spPr>
                </pic:pic>
              </a:graphicData>
            </a:graphic>
          </wp:inline>
        </w:drawing>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proofErr w:type="spellStart"/>
      <w:r w:rsidRPr="00B31F72">
        <w:rPr>
          <w:rFonts w:ascii="Helvetica" w:eastAsia="宋体" w:hAnsi="Helvetica" w:cs="Helvetica"/>
          <w:b/>
          <w:bCs/>
          <w:color w:val="444444"/>
          <w:kern w:val="0"/>
          <w:sz w:val="20"/>
          <w:szCs w:val="20"/>
          <w:bdr w:val="none" w:sz="0" w:space="0" w:color="auto" w:frame="1"/>
        </w:rPr>
        <w:t>Nafta</w:t>
      </w:r>
      <w:proofErr w:type="spellEnd"/>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extent cx="4460875" cy="2353310"/>
            <wp:effectExtent l="0" t="0" r="0" b="8890"/>
            <wp:docPr id="2" name="图片 2" descr="https://gmcworld.org/files/uploads/marke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mcworld.org/files/uploads/market_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0875" cy="2353310"/>
                    </a:xfrm>
                    <a:prstGeom prst="rect">
                      <a:avLst/>
                    </a:prstGeom>
                    <a:noFill/>
                    <a:ln>
                      <a:noFill/>
                    </a:ln>
                  </pic:spPr>
                </pic:pic>
              </a:graphicData>
            </a:graphic>
          </wp:inline>
        </w:drawing>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r w:rsidRPr="00B31F72">
        <w:rPr>
          <w:rFonts w:ascii="Helvetica" w:eastAsia="宋体" w:hAnsi="Helvetica" w:cs="Helvetica"/>
          <w:b/>
          <w:bCs/>
          <w:color w:val="444444"/>
          <w:kern w:val="0"/>
          <w:sz w:val="20"/>
          <w:szCs w:val="20"/>
          <w:bdr w:val="none" w:sz="0" w:space="0" w:color="auto" w:frame="1"/>
        </w:rPr>
        <w:t>Internet</w:t>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4460875" cy="2369185"/>
            <wp:effectExtent l="0" t="0" r="0" b="0"/>
            <wp:docPr id="1" name="图片 1" descr="https://gmcworld.org/files/uploads/marke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mcworld.org/files/uploads/market_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0875" cy="2369185"/>
                    </a:xfrm>
                    <a:prstGeom prst="rect">
                      <a:avLst/>
                    </a:prstGeom>
                    <a:noFill/>
                    <a:ln>
                      <a:noFill/>
                    </a:ln>
                  </pic:spPr>
                </pic:pic>
              </a:graphicData>
            </a:graphic>
          </wp:inline>
        </w:drawing>
      </w:r>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xml:space="preserve">Elasticity of price elasticity for </w:t>
      </w:r>
      <w:proofErr w:type="spellStart"/>
      <w:r w:rsidRPr="00B31F72">
        <w:rPr>
          <w:rFonts w:ascii="Helvetica" w:eastAsia="宋体" w:hAnsi="Helvetica" w:cs="Helvetica"/>
          <w:color w:val="444444"/>
          <w:kern w:val="0"/>
          <w:sz w:val="20"/>
          <w:szCs w:val="20"/>
        </w:rPr>
        <w:t>Nafta</w:t>
      </w:r>
      <w:proofErr w:type="spellEnd"/>
      <w:r w:rsidRPr="00B31F72">
        <w:rPr>
          <w:rFonts w:ascii="Helvetica" w:eastAsia="宋体" w:hAnsi="Helvetica" w:cs="Helvetica"/>
          <w:color w:val="444444"/>
          <w:kern w:val="0"/>
          <w:sz w:val="20"/>
          <w:szCs w:val="20"/>
        </w:rPr>
        <w:t xml:space="preserve"> and Internet market is about the same 11.77 and 10.28. </w:t>
      </w:r>
      <w:proofErr w:type="gramStart"/>
      <w:r w:rsidRPr="00B31F72">
        <w:rPr>
          <w:rFonts w:ascii="Helvetica" w:eastAsia="宋体" w:hAnsi="Helvetica" w:cs="Helvetica"/>
          <w:color w:val="444444"/>
          <w:kern w:val="0"/>
          <w:sz w:val="20"/>
          <w:szCs w:val="20"/>
        </w:rPr>
        <w:t>While elasticity for EU market is much higher 14.73.</w:t>
      </w:r>
      <w:proofErr w:type="gramEnd"/>
    </w:p>
    <w:p w:rsidR="00B31F72" w:rsidRPr="00B31F72" w:rsidRDefault="00B31F72" w:rsidP="00B31F72">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B31F72" w:rsidRPr="00B31F72" w:rsidRDefault="00B31F72" w:rsidP="00B31F72">
      <w:pPr>
        <w:widowControl/>
        <w:shd w:val="clear" w:color="auto" w:fill="FFFFFF"/>
        <w:jc w:val="left"/>
        <w:rPr>
          <w:rFonts w:ascii="Helvetica" w:eastAsia="宋体" w:hAnsi="Helvetica" w:cs="Helvetica"/>
          <w:color w:val="444444"/>
          <w:kern w:val="0"/>
          <w:sz w:val="20"/>
          <w:szCs w:val="20"/>
        </w:rPr>
      </w:pPr>
      <w:r w:rsidRPr="00B31F72">
        <w:rPr>
          <w:rFonts w:ascii="Helvetica" w:eastAsia="宋体" w:hAnsi="Helvetica" w:cs="Helvetica"/>
          <w:b/>
          <w:bCs/>
          <w:color w:val="444444"/>
          <w:kern w:val="0"/>
          <w:sz w:val="20"/>
          <w:szCs w:val="20"/>
          <w:bdr w:val="none" w:sz="0" w:space="0" w:color="auto" w:frame="1"/>
        </w:rPr>
        <w:t>Hints</w:t>
      </w:r>
    </w:p>
    <w:p w:rsidR="001E4D55" w:rsidRPr="006F511F" w:rsidRDefault="006F511F" w:rsidP="006F511F">
      <w:pPr>
        <w:widowControl/>
        <w:spacing w:after="150"/>
        <w:jc w:val="left"/>
        <w:rPr>
          <w:rFonts w:hint="eastAsia"/>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B31F72" w:rsidRPr="00B31F72">
        <w:rPr>
          <w:rFonts w:ascii="Helvetica" w:eastAsia="宋体" w:hAnsi="Helvetica" w:cs="Helvetica"/>
          <w:color w:val="444444"/>
          <w:kern w:val="0"/>
          <w:sz w:val="20"/>
          <w:szCs w:val="20"/>
        </w:rPr>
        <w:t>Elasticity of demand factors is directly proportional to the market load.</w:t>
      </w:r>
    </w:p>
    <w:p w:rsidR="006F511F" w:rsidRP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Default="006F511F" w:rsidP="006F511F">
      <w:pPr>
        <w:widowControl/>
        <w:spacing w:after="150"/>
        <w:jc w:val="left"/>
        <w:rPr>
          <w:rFonts w:ascii="Helvetica" w:eastAsia="宋体" w:hAnsi="Helvetica" w:cs="Helvetica" w:hint="eastAsia"/>
          <w:color w:val="444444"/>
          <w:kern w:val="0"/>
          <w:sz w:val="20"/>
          <w:szCs w:val="20"/>
        </w:rPr>
      </w:pPr>
    </w:p>
    <w:p w:rsidR="006F511F" w:rsidRPr="00B31F72" w:rsidRDefault="004C1DE4" w:rsidP="006F511F">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hint="eastAsia"/>
          <w:caps/>
          <w:color w:val="000000"/>
          <w:kern w:val="36"/>
          <w:sz w:val="27"/>
          <w:szCs w:val="27"/>
        </w:rPr>
      </w:pPr>
      <w:r>
        <w:rPr>
          <w:rFonts w:ascii="Trebuchet MS" w:eastAsia="宋体" w:hAnsi="Trebuchet MS" w:cs="宋体" w:hint="eastAsia"/>
          <w:caps/>
          <w:color w:val="000000"/>
          <w:kern w:val="36"/>
          <w:sz w:val="27"/>
          <w:szCs w:val="27"/>
        </w:rPr>
        <w:lastRenderedPageBreak/>
        <w:t>市场弹性</w:t>
      </w:r>
    </w:p>
    <w:p w:rsidR="004C1DE4" w:rsidRPr="00B31F72" w:rsidRDefault="004C1DE4" w:rsidP="006F511F">
      <w:pPr>
        <w:widowControl/>
        <w:shd w:val="clear" w:color="auto" w:fill="FFFFFF"/>
        <w:spacing w:after="150"/>
        <w:jc w:val="left"/>
        <w:rPr>
          <w:rFonts w:ascii="Helvetica" w:eastAsia="宋体" w:hAnsi="Helvetica" w:cs="Helvetica"/>
          <w:color w:val="444444"/>
          <w:kern w:val="0"/>
          <w:sz w:val="20"/>
          <w:szCs w:val="20"/>
        </w:rPr>
      </w:pPr>
      <w:r w:rsidRPr="004C1DE4">
        <w:rPr>
          <w:rFonts w:ascii="Helvetica" w:eastAsia="宋体" w:hAnsi="Helvetica" w:cs="Helvetica" w:hint="eastAsia"/>
          <w:color w:val="444444"/>
          <w:kern w:val="0"/>
          <w:sz w:val="20"/>
          <w:szCs w:val="20"/>
        </w:rPr>
        <w:t>这个话题仅</w:t>
      </w:r>
      <w:proofErr w:type="gramStart"/>
      <w:r w:rsidRPr="004C1DE4">
        <w:rPr>
          <w:rFonts w:ascii="Helvetica" w:eastAsia="宋体" w:hAnsi="Helvetica" w:cs="Helvetica" w:hint="eastAsia"/>
          <w:color w:val="444444"/>
          <w:kern w:val="0"/>
          <w:sz w:val="20"/>
          <w:szCs w:val="20"/>
        </w:rPr>
        <w:t>供经验</w:t>
      </w:r>
      <w:proofErr w:type="gramEnd"/>
      <w:r w:rsidRPr="004C1DE4">
        <w:rPr>
          <w:rFonts w:ascii="Helvetica" w:eastAsia="宋体" w:hAnsi="Helvetica" w:cs="Helvetica" w:hint="eastAsia"/>
          <w:color w:val="444444"/>
          <w:kern w:val="0"/>
          <w:sz w:val="20"/>
          <w:szCs w:val="20"/>
        </w:rPr>
        <w:t>丰富的</w:t>
      </w:r>
      <w:r w:rsidRPr="004C1DE4">
        <w:rPr>
          <w:rFonts w:ascii="Helvetica" w:eastAsia="宋体" w:hAnsi="Helvetica" w:cs="Helvetica" w:hint="eastAsia"/>
          <w:color w:val="444444"/>
          <w:kern w:val="0"/>
          <w:sz w:val="20"/>
          <w:szCs w:val="20"/>
        </w:rPr>
        <w:t>GMC</w:t>
      </w:r>
      <w:r w:rsidRPr="004C1DE4">
        <w:rPr>
          <w:rFonts w:ascii="Helvetica" w:eastAsia="宋体" w:hAnsi="Helvetica" w:cs="Helvetica" w:hint="eastAsia"/>
          <w:color w:val="444444"/>
          <w:kern w:val="0"/>
          <w:sz w:val="20"/>
          <w:szCs w:val="20"/>
        </w:rPr>
        <w:t>玩家参考，因为信息需要认真的技能和背景。</w:t>
      </w:r>
    </w:p>
    <w:p w:rsidR="004C1DE4" w:rsidRPr="00B31F72" w:rsidRDefault="004C1DE4" w:rsidP="006F511F">
      <w:pPr>
        <w:widowControl/>
        <w:shd w:val="clear" w:color="auto" w:fill="FFFFFF"/>
        <w:jc w:val="left"/>
        <w:rPr>
          <w:rFonts w:ascii="Helvetica" w:eastAsia="宋体" w:hAnsi="Helvetica" w:cs="Helvetica"/>
          <w:color w:val="444444"/>
          <w:kern w:val="0"/>
          <w:sz w:val="20"/>
          <w:szCs w:val="20"/>
        </w:rPr>
      </w:pPr>
      <w:r w:rsidRPr="004C1DE4">
        <w:rPr>
          <w:rFonts w:ascii="Helvetica" w:eastAsia="宋体" w:hAnsi="Helvetica" w:cs="Helvetica" w:hint="eastAsia"/>
          <w:color w:val="444444"/>
          <w:kern w:val="0"/>
          <w:sz w:val="20"/>
          <w:szCs w:val="20"/>
        </w:rPr>
        <w:t>我们已经了解了如何测试因素，现在看看</w:t>
      </w:r>
      <w:r w:rsidRPr="004C1DE4">
        <w:rPr>
          <w:rFonts w:ascii="Helvetica" w:eastAsia="宋体" w:hAnsi="Helvetica" w:cs="Helvetica" w:hint="eastAsia"/>
          <w:color w:val="444444"/>
          <w:kern w:val="0"/>
          <w:sz w:val="20"/>
          <w:szCs w:val="20"/>
        </w:rPr>
        <w:t>GMC</w:t>
      </w:r>
      <w:r w:rsidRPr="004C1DE4">
        <w:rPr>
          <w:rFonts w:ascii="Helvetica" w:eastAsia="宋体" w:hAnsi="Helvetica" w:cs="Helvetica" w:hint="eastAsia"/>
          <w:color w:val="444444"/>
          <w:kern w:val="0"/>
          <w:sz w:val="20"/>
          <w:szCs w:val="20"/>
        </w:rPr>
        <w:t>模拟器市场机制的基本原理。有经验的玩家知道，需求因素对产品销售增加的影响在弱势和强势竞争对手的群体之间是非常不同的。在第一轮的冠军赛中，经验丰富的队伍在球队中没有得到有价值的对手，而销售额则上升了。但在半决赛弱势队伍中，球队开始了持续的领导斗争。</w:t>
      </w:r>
      <w:r w:rsidRPr="004C1DE4">
        <w:rPr>
          <w:rFonts w:ascii="Helvetica" w:eastAsia="宋体" w:hAnsi="Helvetica" w:cs="Helvetica" w:hint="eastAsia"/>
          <w:color w:val="444444"/>
          <w:kern w:val="0"/>
          <w:sz w:val="20"/>
          <w:szCs w:val="20"/>
        </w:rPr>
        <w:t xml:space="preserve"> </w:t>
      </w:r>
      <w:r w:rsidRPr="004C1DE4">
        <w:rPr>
          <w:rFonts w:ascii="Helvetica" w:eastAsia="宋体" w:hAnsi="Helvetica" w:cs="Helvetica" w:hint="eastAsia"/>
          <w:color w:val="444444"/>
          <w:kern w:val="0"/>
          <w:sz w:val="20"/>
          <w:szCs w:val="20"/>
        </w:rPr>
        <w:t>在这种情况下，如果我们做出与第一轮相同的决定，销售额将会减少。那是因为需求因素弹性下降，集团竞争愈演愈烈。</w:t>
      </w:r>
      <w:r w:rsidRPr="004C1DE4">
        <w:rPr>
          <w:rFonts w:ascii="Helvetica" w:eastAsia="宋体" w:hAnsi="Helvetica" w:cs="Helvetica" w:hint="eastAsia"/>
          <w:color w:val="444444"/>
          <w:kern w:val="0"/>
          <w:sz w:val="20"/>
          <w:szCs w:val="20"/>
        </w:rPr>
        <w:t xml:space="preserve"> </w:t>
      </w:r>
      <w:r w:rsidRPr="004C1DE4">
        <w:rPr>
          <w:rFonts w:ascii="Helvetica" w:eastAsia="宋体" w:hAnsi="Helvetica" w:cs="Helvetica" w:hint="eastAsia"/>
          <w:color w:val="444444"/>
          <w:kern w:val="0"/>
          <w:sz w:val="20"/>
          <w:szCs w:val="20"/>
        </w:rPr>
        <w:t>为什么会发生这种情况，以及如何预测未来的销售额？</w:t>
      </w:r>
    </w:p>
    <w:p w:rsidR="004C1DE4" w:rsidRPr="00B31F72" w:rsidRDefault="004C1DE4" w:rsidP="006F511F">
      <w:pPr>
        <w:widowControl/>
        <w:shd w:val="clear" w:color="auto" w:fill="FFFFFF"/>
        <w:spacing w:after="150"/>
        <w:jc w:val="left"/>
        <w:rPr>
          <w:rFonts w:ascii="Helvetica" w:eastAsia="宋体" w:hAnsi="Helvetica" w:cs="Helvetica"/>
          <w:color w:val="444444"/>
          <w:kern w:val="0"/>
          <w:sz w:val="20"/>
          <w:szCs w:val="20"/>
        </w:rPr>
      </w:pPr>
      <w:r w:rsidRPr="004C1DE4">
        <w:rPr>
          <w:rFonts w:ascii="Helvetica" w:eastAsia="宋体" w:hAnsi="Helvetica" w:cs="Helvetica" w:hint="eastAsia"/>
          <w:color w:val="444444"/>
          <w:kern w:val="0"/>
          <w:sz w:val="20"/>
          <w:szCs w:val="20"/>
        </w:rPr>
        <w:t>以前，我们估计每个场景的</w:t>
      </w:r>
      <w:r w:rsidRPr="004C1DE4">
        <w:rPr>
          <w:rFonts w:ascii="Helvetica" w:eastAsia="宋体" w:hAnsi="Helvetica" w:cs="Helvetica" w:hint="eastAsia"/>
          <w:color w:val="444444"/>
          <w:kern w:val="0"/>
          <w:sz w:val="20"/>
          <w:szCs w:val="20"/>
        </w:rPr>
        <w:t>1</w:t>
      </w:r>
      <w:r w:rsidRPr="004C1DE4">
        <w:rPr>
          <w:rFonts w:ascii="Helvetica" w:eastAsia="宋体" w:hAnsi="Helvetica" w:cs="Helvetica" w:hint="eastAsia"/>
          <w:color w:val="444444"/>
          <w:kern w:val="0"/>
          <w:sz w:val="20"/>
          <w:szCs w:val="20"/>
        </w:rPr>
        <w:t>个时期的直接和公司广告的弹性。但是需求因素的弹性并不是一直依赖于竞争对手的实力。它是</w:t>
      </w:r>
      <w:proofErr w:type="gramStart"/>
      <w:r w:rsidRPr="004C1DE4">
        <w:rPr>
          <w:rFonts w:ascii="Helvetica" w:eastAsia="宋体" w:hAnsi="Helvetica" w:cs="Helvetica" w:hint="eastAsia"/>
          <w:color w:val="444444"/>
          <w:kern w:val="0"/>
          <w:sz w:val="20"/>
          <w:szCs w:val="20"/>
        </w:rPr>
        <w:t>指因素</w:t>
      </w:r>
      <w:proofErr w:type="gramEnd"/>
      <w:r w:rsidRPr="004C1DE4">
        <w:rPr>
          <w:rFonts w:ascii="Helvetica" w:eastAsia="宋体" w:hAnsi="Helvetica" w:cs="Helvetica" w:hint="eastAsia"/>
          <w:color w:val="444444"/>
          <w:kern w:val="0"/>
          <w:sz w:val="20"/>
          <w:szCs w:val="20"/>
        </w:rPr>
        <w:t>弹性的弹性。让情景</w:t>
      </w:r>
      <w:r w:rsidRPr="004C1DE4">
        <w:rPr>
          <w:rFonts w:ascii="Helvetica" w:eastAsia="宋体" w:hAnsi="Helvetica" w:cs="Helvetica" w:hint="eastAsia"/>
          <w:color w:val="444444"/>
          <w:kern w:val="0"/>
          <w:sz w:val="20"/>
          <w:szCs w:val="20"/>
        </w:rPr>
        <w:t>12C1</w:t>
      </w:r>
      <w:r w:rsidRPr="004C1DE4">
        <w:rPr>
          <w:rFonts w:ascii="Helvetica" w:eastAsia="宋体" w:hAnsi="Helvetica" w:cs="Helvetica" w:hint="eastAsia"/>
          <w:color w:val="444444"/>
          <w:kern w:val="0"/>
          <w:sz w:val="20"/>
          <w:szCs w:val="20"/>
        </w:rPr>
        <w:t>和</w:t>
      </w:r>
      <w:r w:rsidRPr="004C1DE4">
        <w:rPr>
          <w:rFonts w:ascii="Helvetica" w:eastAsia="宋体" w:hAnsi="Helvetica" w:cs="Helvetica" w:hint="eastAsia"/>
          <w:color w:val="444444"/>
          <w:kern w:val="0"/>
          <w:sz w:val="20"/>
          <w:szCs w:val="20"/>
        </w:rPr>
        <w:t>12C3</w:t>
      </w:r>
      <w:r w:rsidRPr="004C1DE4">
        <w:rPr>
          <w:rFonts w:ascii="Helvetica" w:eastAsia="宋体" w:hAnsi="Helvetica" w:cs="Helvetica" w:hint="eastAsia"/>
          <w:color w:val="444444"/>
          <w:kern w:val="0"/>
          <w:sz w:val="20"/>
          <w:szCs w:val="20"/>
        </w:rPr>
        <w:t>检查</w:t>
      </w:r>
      <w:r w:rsidRPr="004C1DE4">
        <w:rPr>
          <w:rFonts w:ascii="Helvetica" w:eastAsia="宋体" w:hAnsi="Helvetica" w:cs="Helvetica" w:hint="eastAsia"/>
          <w:color w:val="444444"/>
          <w:kern w:val="0"/>
          <w:sz w:val="20"/>
          <w:szCs w:val="20"/>
        </w:rPr>
        <w:t>1</w:t>
      </w:r>
      <w:r w:rsidRPr="004C1DE4">
        <w:rPr>
          <w:rFonts w:ascii="Helvetica" w:eastAsia="宋体" w:hAnsi="Helvetica" w:cs="Helvetica" w:hint="eastAsia"/>
          <w:color w:val="444444"/>
          <w:kern w:val="0"/>
          <w:sz w:val="20"/>
          <w:szCs w:val="20"/>
        </w:rPr>
        <w:t>个时期的价格弹性。</w:t>
      </w:r>
    </w:p>
    <w:p w:rsidR="006F511F" w:rsidRPr="00B31F72" w:rsidRDefault="006F511F" w:rsidP="007E333C">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4C1DE4" w:rsidRPr="004C1DE4">
        <w:rPr>
          <w:rFonts w:ascii="Helvetica" w:eastAsia="宋体" w:hAnsi="Helvetica" w:cs="Helvetica" w:hint="eastAsia"/>
          <w:b/>
          <w:bCs/>
          <w:color w:val="444444"/>
          <w:kern w:val="0"/>
          <w:sz w:val="20"/>
          <w:szCs w:val="20"/>
          <w:bdr w:val="none" w:sz="0" w:space="0" w:color="auto" w:frame="1"/>
        </w:rPr>
        <w:t>情景</w:t>
      </w:r>
      <w:r w:rsidR="004C1DE4" w:rsidRPr="004C1DE4">
        <w:rPr>
          <w:rFonts w:ascii="Helvetica" w:eastAsia="宋体" w:hAnsi="Helvetica" w:cs="Helvetica" w:hint="eastAsia"/>
          <w:b/>
          <w:bCs/>
          <w:color w:val="444444"/>
          <w:kern w:val="0"/>
          <w:sz w:val="20"/>
          <w:szCs w:val="20"/>
          <w:bdr w:val="none" w:sz="0" w:space="0" w:color="auto" w:frame="1"/>
        </w:rPr>
        <w:t>12C1</w:t>
      </w:r>
    </w:p>
    <w:p w:rsidR="004C1DE4" w:rsidRPr="00B31F72" w:rsidRDefault="004C1DE4" w:rsidP="004C1DE4">
      <w:pPr>
        <w:widowControl/>
        <w:shd w:val="clear" w:color="auto" w:fill="FFFFFF"/>
        <w:spacing w:after="150"/>
        <w:jc w:val="left"/>
        <w:rPr>
          <w:rFonts w:ascii="Helvetica" w:eastAsia="宋体" w:hAnsi="Helvetica" w:cs="Helvetica"/>
          <w:color w:val="444444"/>
          <w:kern w:val="0"/>
          <w:sz w:val="20"/>
          <w:szCs w:val="20"/>
        </w:rPr>
      </w:pPr>
      <w:r w:rsidRPr="004C1DE4">
        <w:rPr>
          <w:rFonts w:ascii="Helvetica" w:eastAsia="宋体" w:hAnsi="Helvetica" w:cs="Helvetica" w:hint="eastAsia"/>
          <w:color w:val="444444"/>
          <w:kern w:val="0"/>
          <w:sz w:val="20"/>
          <w:szCs w:val="20"/>
        </w:rPr>
        <w:t>在这个表中，您可以看到情景</w:t>
      </w:r>
      <w:r w:rsidRPr="004C1DE4">
        <w:rPr>
          <w:rFonts w:ascii="Helvetica" w:eastAsia="宋体" w:hAnsi="Helvetica" w:cs="Helvetica" w:hint="eastAsia"/>
          <w:color w:val="444444"/>
          <w:kern w:val="0"/>
          <w:sz w:val="20"/>
          <w:szCs w:val="20"/>
        </w:rPr>
        <w:t>12C1</w:t>
      </w:r>
      <w:r w:rsidRPr="004C1DE4">
        <w:rPr>
          <w:rFonts w:ascii="Helvetica" w:eastAsia="宋体" w:hAnsi="Helvetica" w:cs="Helvetica" w:hint="eastAsia"/>
          <w:color w:val="444444"/>
          <w:kern w:val="0"/>
          <w:sz w:val="20"/>
          <w:szCs w:val="20"/>
        </w:rPr>
        <w:t>的价格弹性</w:t>
      </w:r>
      <w:r w:rsidRPr="004C1DE4">
        <w:rPr>
          <w:rFonts w:ascii="Helvetica" w:eastAsia="宋体" w:hAnsi="Helvetica" w:cs="Helvetica" w:hint="eastAsia"/>
          <w:color w:val="444444"/>
          <w:kern w:val="0"/>
          <w:sz w:val="20"/>
          <w:szCs w:val="20"/>
        </w:rPr>
        <w:t xml:space="preserve"> - </w:t>
      </w:r>
      <w:r w:rsidRPr="004C1DE4">
        <w:rPr>
          <w:rFonts w:ascii="Helvetica" w:eastAsia="宋体" w:hAnsi="Helvetica" w:cs="Helvetica" w:hint="eastAsia"/>
          <w:color w:val="444444"/>
          <w:kern w:val="0"/>
          <w:sz w:val="20"/>
          <w:szCs w:val="20"/>
        </w:rPr>
        <w:t>当价格变化</w:t>
      </w:r>
      <w:r w:rsidRPr="004C1DE4">
        <w:rPr>
          <w:rFonts w:ascii="Helvetica" w:eastAsia="宋体" w:hAnsi="Helvetica" w:cs="Helvetica" w:hint="eastAsia"/>
          <w:color w:val="444444"/>
          <w:kern w:val="0"/>
          <w:sz w:val="20"/>
          <w:szCs w:val="20"/>
        </w:rPr>
        <w:t>1</w:t>
      </w:r>
      <w:r w:rsidRPr="004C1DE4">
        <w:rPr>
          <w:rFonts w:ascii="Helvetica" w:eastAsia="宋体" w:hAnsi="Helvetica" w:cs="Helvetica" w:hint="eastAsia"/>
          <w:color w:val="444444"/>
          <w:kern w:val="0"/>
          <w:sz w:val="20"/>
          <w:szCs w:val="20"/>
        </w:rPr>
        <w:t>％时销售额的相对变化百分比。</w:t>
      </w:r>
      <w:r w:rsidRPr="004C1DE4">
        <w:rPr>
          <w:rFonts w:ascii="Helvetica" w:eastAsia="宋体" w:hAnsi="Helvetica" w:cs="Helvetica" w:hint="eastAsia"/>
          <w:color w:val="444444"/>
          <w:kern w:val="0"/>
          <w:sz w:val="20"/>
          <w:szCs w:val="20"/>
        </w:rPr>
        <w:t xml:space="preserve"> </w:t>
      </w:r>
      <w:r w:rsidRPr="004C1DE4">
        <w:rPr>
          <w:rFonts w:ascii="Helvetica" w:eastAsia="宋体" w:hAnsi="Helvetica" w:cs="Helvetica" w:hint="eastAsia"/>
          <w:color w:val="444444"/>
          <w:kern w:val="0"/>
          <w:sz w:val="20"/>
          <w:szCs w:val="20"/>
        </w:rPr>
        <w:t>例如，互联网产品</w:t>
      </w:r>
      <w:r w:rsidRPr="004C1DE4">
        <w:rPr>
          <w:rFonts w:ascii="Helvetica" w:eastAsia="宋体" w:hAnsi="Helvetica" w:cs="Helvetica" w:hint="eastAsia"/>
          <w:color w:val="444444"/>
          <w:kern w:val="0"/>
          <w:sz w:val="20"/>
          <w:szCs w:val="20"/>
        </w:rPr>
        <w:t>1</w:t>
      </w:r>
      <w:r w:rsidRPr="004C1DE4">
        <w:rPr>
          <w:rFonts w:ascii="Helvetica" w:eastAsia="宋体" w:hAnsi="Helvetica" w:cs="Helvetica" w:hint="eastAsia"/>
          <w:color w:val="444444"/>
          <w:kern w:val="0"/>
          <w:sz w:val="20"/>
          <w:szCs w:val="20"/>
        </w:rPr>
        <w:t>的价格上涨</w:t>
      </w:r>
      <w:r w:rsidRPr="004C1DE4">
        <w:rPr>
          <w:rFonts w:ascii="Helvetica" w:eastAsia="宋体" w:hAnsi="Helvetica" w:cs="Helvetica" w:hint="eastAsia"/>
          <w:color w:val="444444"/>
          <w:kern w:val="0"/>
          <w:sz w:val="20"/>
          <w:szCs w:val="20"/>
        </w:rPr>
        <w:t>1</w:t>
      </w:r>
      <w:r w:rsidRPr="004C1DE4">
        <w:rPr>
          <w:rFonts w:ascii="Helvetica" w:eastAsia="宋体" w:hAnsi="Helvetica" w:cs="Helvetica" w:hint="eastAsia"/>
          <w:color w:val="444444"/>
          <w:kern w:val="0"/>
          <w:sz w:val="20"/>
          <w:szCs w:val="20"/>
        </w:rPr>
        <w:t>％，销售额下降了</w:t>
      </w:r>
      <w:r w:rsidRPr="004C1DE4">
        <w:rPr>
          <w:rFonts w:ascii="Helvetica" w:eastAsia="宋体" w:hAnsi="Helvetica" w:cs="Helvetica" w:hint="eastAsia"/>
          <w:color w:val="444444"/>
          <w:kern w:val="0"/>
          <w:sz w:val="20"/>
          <w:szCs w:val="20"/>
        </w:rPr>
        <w:t>-2.175</w:t>
      </w:r>
      <w:r w:rsidRPr="004C1DE4">
        <w:rPr>
          <w:rFonts w:ascii="Helvetica" w:eastAsia="宋体" w:hAnsi="Helvetica" w:cs="Helvetica" w:hint="eastAsia"/>
          <w:color w:val="444444"/>
          <w:kern w:val="0"/>
          <w:sz w:val="20"/>
          <w:szCs w:val="20"/>
        </w:rPr>
        <w:t>％。</w:t>
      </w:r>
      <w:r w:rsidRPr="004C1DE4">
        <w:rPr>
          <w:rFonts w:ascii="Helvetica" w:eastAsia="宋体" w:hAnsi="Helvetica" w:cs="Helvetica" w:hint="eastAsia"/>
          <w:color w:val="444444"/>
          <w:kern w:val="0"/>
          <w:sz w:val="20"/>
          <w:szCs w:val="20"/>
        </w:rPr>
        <w:t xml:space="preserve"> </w:t>
      </w:r>
      <w:r w:rsidRPr="004C1DE4">
        <w:rPr>
          <w:rFonts w:ascii="Helvetica" w:eastAsia="宋体" w:hAnsi="Helvetica" w:cs="Helvetica" w:hint="eastAsia"/>
          <w:color w:val="444444"/>
          <w:kern w:val="0"/>
          <w:sz w:val="20"/>
          <w:szCs w:val="20"/>
        </w:rPr>
        <w:t>数据来自多次完美测试，无条件使用。</w:t>
      </w:r>
    </w:p>
    <w:tbl>
      <w:tblPr>
        <w:tblStyle w:val="aa"/>
        <w:tblW w:w="0" w:type="auto"/>
        <w:tblLook w:val="04A0" w:firstRow="1" w:lastRow="0" w:firstColumn="1" w:lastColumn="0" w:noHBand="0" w:noVBand="1"/>
      </w:tblPr>
      <w:tblGrid>
        <w:gridCol w:w="816"/>
        <w:gridCol w:w="784"/>
        <w:gridCol w:w="784"/>
        <w:gridCol w:w="784"/>
      </w:tblGrid>
      <w:tr w:rsidR="006F511F" w:rsidRPr="00B31F72" w:rsidTr="004C1DE4">
        <w:tc>
          <w:tcPr>
            <w:tcW w:w="0" w:type="auto"/>
            <w:hideMark/>
          </w:tcPr>
          <w:p w:rsidR="006F511F"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弹性</w:t>
            </w:r>
          </w:p>
        </w:tc>
        <w:tc>
          <w:tcPr>
            <w:tcW w:w="0" w:type="auto"/>
            <w:hideMark/>
          </w:tcPr>
          <w:p w:rsidR="006F511F"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sidR="006F511F" w:rsidRPr="00B31F72">
              <w:rPr>
                <w:rFonts w:ascii="Helvetica" w:eastAsia="宋体" w:hAnsi="Helvetica" w:cs="Helvetica"/>
                <w:color w:val="444444"/>
                <w:kern w:val="0"/>
                <w:sz w:val="20"/>
                <w:szCs w:val="20"/>
              </w:rPr>
              <w:t>1</w:t>
            </w:r>
          </w:p>
        </w:tc>
        <w:tc>
          <w:tcPr>
            <w:tcW w:w="0" w:type="auto"/>
            <w:hideMark/>
          </w:tcPr>
          <w:p w:rsidR="006F511F" w:rsidRPr="00B31F72" w:rsidRDefault="007E333C" w:rsidP="007E333C">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sidR="006F511F" w:rsidRPr="00B31F72">
              <w:rPr>
                <w:rFonts w:ascii="Helvetica" w:eastAsia="宋体" w:hAnsi="Helvetica" w:cs="Helvetica"/>
                <w:color w:val="444444"/>
                <w:kern w:val="0"/>
                <w:sz w:val="20"/>
                <w:szCs w:val="20"/>
              </w:rPr>
              <w:t>2</w:t>
            </w:r>
          </w:p>
        </w:tc>
        <w:tc>
          <w:tcPr>
            <w:tcW w:w="0" w:type="auto"/>
            <w:hideMark/>
          </w:tcPr>
          <w:p w:rsidR="006F511F"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3</w:t>
            </w:r>
          </w:p>
        </w:tc>
      </w:tr>
      <w:tr w:rsidR="006F511F" w:rsidRPr="00B31F72" w:rsidTr="004C1DE4">
        <w:tc>
          <w:tcPr>
            <w:tcW w:w="0" w:type="auto"/>
            <w:hideMark/>
          </w:tcPr>
          <w:p w:rsidR="006F511F"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国内</w:t>
            </w:r>
          </w:p>
        </w:tc>
        <w:tc>
          <w:tcPr>
            <w:tcW w:w="0" w:type="auto"/>
            <w:hideMark/>
          </w:tcPr>
          <w:p w:rsidR="006F511F" w:rsidRPr="00B31F72" w:rsidRDefault="006F511F"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w:t>
            </w:r>
            <w:r w:rsidR="007E333C">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186</w:t>
            </w:r>
          </w:p>
        </w:tc>
        <w:tc>
          <w:tcPr>
            <w:tcW w:w="0" w:type="auto"/>
            <w:hideMark/>
          </w:tcPr>
          <w:p w:rsidR="006F511F" w:rsidRPr="00B31F72" w:rsidRDefault="006F511F"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-1</w:t>
            </w:r>
            <w:r w:rsidR="007E333C">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927</w:t>
            </w:r>
          </w:p>
        </w:tc>
        <w:tc>
          <w:tcPr>
            <w:tcW w:w="0" w:type="auto"/>
            <w:hideMark/>
          </w:tcPr>
          <w:p w:rsidR="006F511F" w:rsidRPr="00B31F72" w:rsidRDefault="006F511F"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w:t>
            </w:r>
            <w:r w:rsidR="007E333C">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449</w:t>
            </w:r>
          </w:p>
        </w:tc>
      </w:tr>
      <w:tr w:rsidR="006F511F" w:rsidRPr="00B31F72" w:rsidTr="004C1DE4">
        <w:tc>
          <w:tcPr>
            <w:tcW w:w="0" w:type="auto"/>
            <w:hideMark/>
          </w:tcPr>
          <w:p w:rsidR="006F511F"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北美</w:t>
            </w:r>
          </w:p>
        </w:tc>
        <w:tc>
          <w:tcPr>
            <w:tcW w:w="0" w:type="auto"/>
            <w:hideMark/>
          </w:tcPr>
          <w:p w:rsidR="006F511F" w:rsidRPr="00B31F72" w:rsidRDefault="006F511F"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-5</w:t>
            </w:r>
            <w:r w:rsidR="007E333C">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010</w:t>
            </w:r>
          </w:p>
        </w:tc>
        <w:tc>
          <w:tcPr>
            <w:tcW w:w="0" w:type="auto"/>
            <w:hideMark/>
          </w:tcPr>
          <w:p w:rsidR="006F511F" w:rsidRPr="00B31F72" w:rsidRDefault="006F511F"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w:t>
            </w:r>
            <w:r w:rsidR="007E333C">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739</w:t>
            </w:r>
          </w:p>
        </w:tc>
        <w:tc>
          <w:tcPr>
            <w:tcW w:w="0" w:type="auto"/>
            <w:hideMark/>
          </w:tcPr>
          <w:p w:rsidR="006F511F" w:rsidRPr="00B31F72" w:rsidRDefault="006F511F"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w:t>
            </w:r>
            <w:r w:rsidR="007E333C">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510</w:t>
            </w:r>
          </w:p>
        </w:tc>
      </w:tr>
      <w:tr w:rsidR="006F511F" w:rsidRPr="00B31F72" w:rsidTr="004C1DE4">
        <w:tc>
          <w:tcPr>
            <w:tcW w:w="0" w:type="auto"/>
            <w:hideMark/>
          </w:tcPr>
          <w:p w:rsidR="006F511F"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互联网</w:t>
            </w:r>
          </w:p>
        </w:tc>
        <w:tc>
          <w:tcPr>
            <w:tcW w:w="0" w:type="auto"/>
            <w:hideMark/>
          </w:tcPr>
          <w:p w:rsidR="006F511F" w:rsidRPr="00B31F72" w:rsidRDefault="006F511F"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w:t>
            </w:r>
            <w:r w:rsidR="007E333C">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175</w:t>
            </w:r>
          </w:p>
        </w:tc>
        <w:tc>
          <w:tcPr>
            <w:tcW w:w="0" w:type="auto"/>
            <w:hideMark/>
          </w:tcPr>
          <w:p w:rsidR="006F511F" w:rsidRPr="00B31F72" w:rsidRDefault="006F511F"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-1</w:t>
            </w:r>
            <w:r w:rsidR="007E333C">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418</w:t>
            </w:r>
          </w:p>
        </w:tc>
        <w:tc>
          <w:tcPr>
            <w:tcW w:w="0" w:type="auto"/>
            <w:hideMark/>
          </w:tcPr>
          <w:p w:rsidR="006F511F" w:rsidRPr="00B31F72" w:rsidRDefault="006F511F"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-1</w:t>
            </w:r>
            <w:r w:rsidR="007E333C">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794</w:t>
            </w:r>
          </w:p>
        </w:tc>
      </w:tr>
    </w:tbl>
    <w:p w:rsidR="007E333C"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sidRPr="007E333C">
        <w:rPr>
          <w:rFonts w:ascii="Helvetica" w:eastAsia="宋体" w:hAnsi="Helvetica" w:cs="Helvetica" w:hint="eastAsia"/>
          <w:color w:val="444444"/>
          <w:kern w:val="0"/>
          <w:sz w:val="20"/>
          <w:szCs w:val="20"/>
        </w:rPr>
        <w:t>在此表中，所有公司的市场份额按照</w:t>
      </w:r>
      <w:r w:rsidR="007E333C" w:rsidRPr="007E333C">
        <w:rPr>
          <w:rFonts w:ascii="Helvetica" w:eastAsia="宋体" w:hAnsi="Helvetica" w:cs="Helvetica" w:hint="eastAsia"/>
          <w:color w:val="444444"/>
          <w:kern w:val="0"/>
          <w:sz w:val="20"/>
          <w:szCs w:val="20"/>
        </w:rPr>
        <w:t>1</w:t>
      </w:r>
      <w:r w:rsidR="007E333C" w:rsidRPr="007E333C">
        <w:rPr>
          <w:rFonts w:ascii="Helvetica" w:eastAsia="宋体" w:hAnsi="Helvetica" w:cs="Helvetica" w:hint="eastAsia"/>
          <w:color w:val="444444"/>
          <w:kern w:val="0"/>
          <w:sz w:val="20"/>
          <w:szCs w:val="20"/>
        </w:rPr>
        <w:t>个时段的市场信息计算。</w:t>
      </w:r>
      <w:r w:rsidR="007E333C" w:rsidRPr="007E333C">
        <w:rPr>
          <w:rFonts w:ascii="Helvetica" w:eastAsia="宋体" w:hAnsi="Helvetica" w:cs="Helvetica" w:hint="eastAsia"/>
          <w:color w:val="444444"/>
          <w:kern w:val="0"/>
          <w:sz w:val="20"/>
          <w:szCs w:val="20"/>
        </w:rPr>
        <w:t xml:space="preserve"> </w:t>
      </w:r>
      <w:r w:rsidR="007E333C" w:rsidRPr="007E333C">
        <w:rPr>
          <w:rFonts w:ascii="Helvetica" w:eastAsia="宋体" w:hAnsi="Helvetica" w:cs="Helvetica" w:hint="eastAsia"/>
          <w:color w:val="444444"/>
          <w:kern w:val="0"/>
          <w:sz w:val="20"/>
          <w:szCs w:val="20"/>
        </w:rPr>
        <w:t>互联网产品</w:t>
      </w:r>
      <w:r w:rsidR="007E333C" w:rsidRPr="007E333C">
        <w:rPr>
          <w:rFonts w:ascii="Helvetica" w:eastAsia="宋体" w:hAnsi="Helvetica" w:cs="Helvetica" w:hint="eastAsia"/>
          <w:color w:val="444444"/>
          <w:kern w:val="0"/>
          <w:sz w:val="20"/>
          <w:szCs w:val="20"/>
        </w:rPr>
        <w:t>1</w:t>
      </w:r>
      <w:r w:rsidR="007E333C" w:rsidRPr="007E333C">
        <w:rPr>
          <w:rFonts w:ascii="Helvetica" w:eastAsia="宋体" w:hAnsi="Helvetica" w:cs="Helvetica" w:hint="eastAsia"/>
          <w:color w:val="444444"/>
          <w:kern w:val="0"/>
          <w:sz w:val="20"/>
          <w:szCs w:val="20"/>
        </w:rPr>
        <w:t>的份额等于</w:t>
      </w:r>
      <w:r w:rsidR="007E333C" w:rsidRPr="007E333C">
        <w:rPr>
          <w:rFonts w:ascii="Helvetica" w:eastAsia="宋体" w:hAnsi="Helvetica" w:cs="Helvetica" w:hint="eastAsia"/>
          <w:color w:val="444444"/>
          <w:kern w:val="0"/>
          <w:sz w:val="20"/>
          <w:szCs w:val="20"/>
        </w:rPr>
        <w:t>76.2</w:t>
      </w:r>
      <w:r w:rsidR="007E333C" w:rsidRPr="007E333C">
        <w:rPr>
          <w:rFonts w:ascii="Helvetica" w:eastAsia="宋体" w:hAnsi="Helvetica" w:cs="Helvetica" w:hint="eastAsia"/>
          <w:color w:val="444444"/>
          <w:kern w:val="0"/>
          <w:sz w:val="20"/>
          <w:szCs w:val="20"/>
        </w:rPr>
        <w:t>，这意味着贵公司和集团竞争对手的市场占有率为</w:t>
      </w:r>
      <w:r w:rsidR="007E333C" w:rsidRPr="007E333C">
        <w:rPr>
          <w:rFonts w:ascii="Helvetica" w:eastAsia="宋体" w:hAnsi="Helvetica" w:cs="Helvetica" w:hint="eastAsia"/>
          <w:color w:val="444444"/>
          <w:kern w:val="0"/>
          <w:sz w:val="20"/>
          <w:szCs w:val="20"/>
        </w:rPr>
        <w:t>76.2</w:t>
      </w:r>
      <w:r w:rsidR="007E333C" w:rsidRPr="007E333C">
        <w:rPr>
          <w:rFonts w:ascii="Helvetica" w:eastAsia="宋体" w:hAnsi="Helvetica" w:cs="Helvetica" w:hint="eastAsia"/>
          <w:color w:val="444444"/>
          <w:kern w:val="0"/>
          <w:sz w:val="20"/>
          <w:szCs w:val="20"/>
        </w:rPr>
        <w:t>％。</w:t>
      </w:r>
      <w:r w:rsidR="007E333C" w:rsidRPr="007E333C">
        <w:rPr>
          <w:rFonts w:ascii="Helvetica" w:eastAsia="宋体" w:hAnsi="Helvetica" w:cs="Helvetica" w:hint="eastAsia"/>
          <w:color w:val="444444"/>
          <w:kern w:val="0"/>
          <w:sz w:val="20"/>
          <w:szCs w:val="20"/>
        </w:rPr>
        <w:t xml:space="preserve"> </w:t>
      </w:r>
      <w:r w:rsidR="007E333C" w:rsidRPr="007E333C">
        <w:rPr>
          <w:rFonts w:ascii="Helvetica" w:eastAsia="宋体" w:hAnsi="Helvetica" w:cs="Helvetica" w:hint="eastAsia"/>
          <w:color w:val="444444"/>
          <w:kern w:val="0"/>
          <w:sz w:val="20"/>
          <w:szCs w:val="20"/>
        </w:rPr>
        <w:t>市场负担可能因组内竞争对手的水平而异。</w:t>
      </w:r>
      <w:r w:rsidR="007E333C" w:rsidRPr="007E333C">
        <w:rPr>
          <w:rFonts w:ascii="Helvetica" w:eastAsia="宋体" w:hAnsi="Helvetica" w:cs="Helvetica" w:hint="eastAsia"/>
          <w:color w:val="444444"/>
          <w:kern w:val="0"/>
          <w:sz w:val="20"/>
          <w:szCs w:val="20"/>
        </w:rPr>
        <w:t xml:space="preserve"> </w:t>
      </w:r>
      <w:r w:rsidR="007E333C" w:rsidRPr="007E333C">
        <w:rPr>
          <w:rFonts w:ascii="Helvetica" w:eastAsia="宋体" w:hAnsi="Helvetica" w:cs="Helvetica" w:hint="eastAsia"/>
          <w:color w:val="444444"/>
          <w:kern w:val="0"/>
          <w:sz w:val="20"/>
          <w:szCs w:val="20"/>
        </w:rPr>
        <w:t>在测试中，产品</w:t>
      </w:r>
      <w:r w:rsidR="007E333C" w:rsidRPr="007E333C">
        <w:rPr>
          <w:rFonts w:ascii="Helvetica" w:eastAsia="宋体" w:hAnsi="Helvetica" w:cs="Helvetica" w:hint="eastAsia"/>
          <w:color w:val="444444"/>
          <w:kern w:val="0"/>
          <w:sz w:val="20"/>
          <w:szCs w:val="20"/>
        </w:rPr>
        <w:t>1</w:t>
      </w:r>
      <w:r w:rsidR="007E333C" w:rsidRPr="007E333C">
        <w:rPr>
          <w:rFonts w:ascii="Helvetica" w:eastAsia="宋体" w:hAnsi="Helvetica" w:cs="Helvetica" w:hint="eastAsia"/>
          <w:color w:val="444444"/>
          <w:kern w:val="0"/>
          <w:sz w:val="20"/>
          <w:szCs w:val="20"/>
        </w:rPr>
        <w:t>在互联网上的弹性范围从</w:t>
      </w:r>
      <w:r w:rsidR="007E333C" w:rsidRPr="007E333C">
        <w:rPr>
          <w:rFonts w:ascii="Helvetica" w:eastAsia="宋体" w:hAnsi="Helvetica" w:cs="Helvetica" w:hint="eastAsia"/>
          <w:color w:val="444444"/>
          <w:kern w:val="0"/>
          <w:sz w:val="20"/>
          <w:szCs w:val="20"/>
        </w:rPr>
        <w:t>70</w:t>
      </w:r>
      <w:r w:rsidR="007E333C" w:rsidRPr="007E333C">
        <w:rPr>
          <w:rFonts w:ascii="Helvetica" w:eastAsia="宋体" w:hAnsi="Helvetica" w:cs="Helvetica" w:hint="eastAsia"/>
          <w:color w:val="444444"/>
          <w:kern w:val="0"/>
          <w:sz w:val="20"/>
          <w:szCs w:val="20"/>
        </w:rPr>
        <w:t>％到</w:t>
      </w:r>
      <w:r w:rsidR="007E333C" w:rsidRPr="007E333C">
        <w:rPr>
          <w:rFonts w:ascii="Helvetica" w:eastAsia="宋体" w:hAnsi="Helvetica" w:cs="Helvetica" w:hint="eastAsia"/>
          <w:color w:val="444444"/>
          <w:kern w:val="0"/>
          <w:sz w:val="20"/>
          <w:szCs w:val="20"/>
        </w:rPr>
        <w:t>80</w:t>
      </w:r>
      <w:r w:rsidR="007E333C" w:rsidRPr="007E333C">
        <w:rPr>
          <w:rFonts w:ascii="Helvetica" w:eastAsia="宋体" w:hAnsi="Helvetica" w:cs="Helvetica" w:hint="eastAsia"/>
          <w:color w:val="444444"/>
          <w:kern w:val="0"/>
          <w:sz w:val="20"/>
          <w:szCs w:val="20"/>
        </w:rPr>
        <w:t>％不等。</w:t>
      </w:r>
    </w:p>
    <w:tbl>
      <w:tblPr>
        <w:tblStyle w:val="aa"/>
        <w:tblW w:w="0" w:type="auto"/>
        <w:tblLook w:val="04A0" w:firstRow="1" w:lastRow="0" w:firstColumn="1" w:lastColumn="0" w:noHBand="0" w:noVBand="1"/>
      </w:tblPr>
      <w:tblGrid>
        <w:gridCol w:w="1016"/>
        <w:gridCol w:w="778"/>
        <w:gridCol w:w="778"/>
        <w:gridCol w:w="778"/>
      </w:tblGrid>
      <w:tr w:rsidR="007E333C" w:rsidRPr="00B31F72" w:rsidTr="007E333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市场负荷</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sidRPr="00B31F72">
              <w:rPr>
                <w:rFonts w:ascii="Helvetica" w:eastAsia="宋体" w:hAnsi="Helvetica" w:cs="Helvetica"/>
                <w:color w:val="444444"/>
                <w:kern w:val="0"/>
                <w:sz w:val="20"/>
                <w:szCs w:val="20"/>
              </w:rPr>
              <w:t>1</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sidRPr="00B31F72">
              <w:rPr>
                <w:rFonts w:ascii="Helvetica" w:eastAsia="宋体" w:hAnsi="Helvetica" w:cs="Helvetica"/>
                <w:color w:val="444444"/>
                <w:kern w:val="0"/>
                <w:sz w:val="20"/>
                <w:szCs w:val="20"/>
              </w:rPr>
              <w:t>2</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3</w:t>
            </w:r>
          </w:p>
        </w:tc>
      </w:tr>
      <w:tr w:rsidR="007E333C" w:rsidRPr="00B31F72" w:rsidTr="007E333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国内</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52</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8</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70</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6</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63</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8</w:t>
            </w:r>
          </w:p>
        </w:tc>
      </w:tr>
      <w:tr w:rsidR="007E333C" w:rsidRPr="00B31F72" w:rsidTr="007E333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北美</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40</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5</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69</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1</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58</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9</w:t>
            </w:r>
          </w:p>
        </w:tc>
      </w:tr>
      <w:tr w:rsidR="007E333C" w:rsidRPr="00B31F72" w:rsidTr="007E333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互联网</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76</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2</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84</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6</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81</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8</w:t>
            </w:r>
          </w:p>
        </w:tc>
      </w:tr>
    </w:tbl>
    <w:p w:rsidR="007E333C"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sidRPr="007E333C">
        <w:rPr>
          <w:rFonts w:ascii="Helvetica" w:eastAsia="宋体" w:hAnsi="Helvetica" w:cs="Helvetica" w:hint="eastAsia"/>
          <w:color w:val="444444"/>
          <w:kern w:val="0"/>
          <w:sz w:val="20"/>
          <w:szCs w:val="20"/>
        </w:rPr>
        <w:t>价格弹性和市场负担在图上。</w:t>
      </w:r>
      <w:r w:rsidR="007E333C" w:rsidRPr="007E333C">
        <w:rPr>
          <w:rFonts w:ascii="Helvetica" w:eastAsia="宋体" w:hAnsi="Helvetica" w:cs="Helvetica" w:hint="eastAsia"/>
          <w:color w:val="444444"/>
          <w:kern w:val="0"/>
          <w:sz w:val="20"/>
          <w:szCs w:val="20"/>
        </w:rPr>
        <w:t xml:space="preserve"> </w:t>
      </w:r>
      <w:r w:rsidR="007E333C" w:rsidRPr="007E333C">
        <w:rPr>
          <w:rFonts w:ascii="Helvetica" w:eastAsia="宋体" w:hAnsi="Helvetica" w:cs="Helvetica" w:hint="eastAsia"/>
          <w:color w:val="444444"/>
          <w:kern w:val="0"/>
          <w:sz w:val="20"/>
          <w:szCs w:val="20"/>
        </w:rPr>
        <w:t>在图中垂直</w:t>
      </w:r>
      <w:r w:rsidR="007E333C" w:rsidRPr="007E333C">
        <w:rPr>
          <w:rFonts w:ascii="Helvetica" w:eastAsia="宋体" w:hAnsi="Helvetica" w:cs="Helvetica" w:hint="eastAsia"/>
          <w:color w:val="444444"/>
          <w:kern w:val="0"/>
          <w:sz w:val="20"/>
          <w:szCs w:val="20"/>
        </w:rPr>
        <w:t xml:space="preserve"> - </w:t>
      </w:r>
      <w:r w:rsidR="007E333C" w:rsidRPr="007E333C">
        <w:rPr>
          <w:rFonts w:ascii="Helvetica" w:eastAsia="宋体" w:hAnsi="Helvetica" w:cs="Helvetica" w:hint="eastAsia"/>
          <w:color w:val="444444"/>
          <w:kern w:val="0"/>
          <w:sz w:val="20"/>
          <w:szCs w:val="20"/>
        </w:rPr>
        <w:t>市场负荷（</w:t>
      </w:r>
      <w:r w:rsidR="007E333C">
        <w:rPr>
          <w:rFonts w:ascii="Helvetica" w:eastAsia="宋体" w:hAnsi="Helvetica" w:cs="Helvetica" w:hint="eastAsia"/>
          <w:color w:val="444444"/>
          <w:kern w:val="0"/>
          <w:sz w:val="20"/>
          <w:szCs w:val="20"/>
        </w:rPr>
        <w:t>国内</w:t>
      </w:r>
      <w:r w:rsidR="007E333C" w:rsidRPr="007E333C">
        <w:rPr>
          <w:rFonts w:ascii="Helvetica" w:eastAsia="宋体" w:hAnsi="Helvetica" w:cs="Helvetica" w:hint="eastAsia"/>
          <w:color w:val="444444"/>
          <w:kern w:val="0"/>
          <w:sz w:val="20"/>
          <w:szCs w:val="20"/>
        </w:rPr>
        <w:t xml:space="preserve"> - </w:t>
      </w:r>
      <w:r w:rsidR="007E333C" w:rsidRPr="007E333C">
        <w:rPr>
          <w:rFonts w:ascii="Helvetica" w:eastAsia="宋体" w:hAnsi="Helvetica" w:cs="Helvetica" w:hint="eastAsia"/>
          <w:color w:val="444444"/>
          <w:kern w:val="0"/>
          <w:sz w:val="20"/>
          <w:szCs w:val="20"/>
        </w:rPr>
        <w:t>蓝色，</w:t>
      </w:r>
      <w:r w:rsidR="007E333C">
        <w:rPr>
          <w:rFonts w:ascii="Helvetica" w:eastAsia="宋体" w:hAnsi="Helvetica" w:cs="Helvetica" w:hint="eastAsia"/>
          <w:color w:val="444444"/>
          <w:kern w:val="0"/>
          <w:sz w:val="20"/>
          <w:szCs w:val="20"/>
        </w:rPr>
        <w:t>北美</w:t>
      </w:r>
      <w:r w:rsidR="007E333C" w:rsidRPr="007E333C">
        <w:rPr>
          <w:rFonts w:ascii="Helvetica" w:eastAsia="宋体" w:hAnsi="Helvetica" w:cs="Helvetica" w:hint="eastAsia"/>
          <w:color w:val="444444"/>
          <w:kern w:val="0"/>
          <w:sz w:val="20"/>
          <w:szCs w:val="20"/>
        </w:rPr>
        <w:t xml:space="preserve"> - </w:t>
      </w:r>
      <w:r w:rsidR="007E333C" w:rsidRPr="007E333C">
        <w:rPr>
          <w:rFonts w:ascii="Helvetica" w:eastAsia="宋体" w:hAnsi="Helvetica" w:cs="Helvetica" w:hint="eastAsia"/>
          <w:color w:val="444444"/>
          <w:kern w:val="0"/>
          <w:sz w:val="20"/>
          <w:szCs w:val="20"/>
        </w:rPr>
        <w:t>绿色，互联网</w:t>
      </w:r>
      <w:r w:rsidR="007E333C" w:rsidRPr="007E333C">
        <w:rPr>
          <w:rFonts w:ascii="Helvetica" w:eastAsia="宋体" w:hAnsi="Helvetica" w:cs="Helvetica" w:hint="eastAsia"/>
          <w:color w:val="444444"/>
          <w:kern w:val="0"/>
          <w:sz w:val="20"/>
          <w:szCs w:val="20"/>
        </w:rPr>
        <w:t xml:space="preserve"> - </w:t>
      </w:r>
      <w:r w:rsidR="007E333C" w:rsidRPr="007E333C">
        <w:rPr>
          <w:rFonts w:ascii="Helvetica" w:eastAsia="宋体" w:hAnsi="Helvetica" w:cs="Helvetica" w:hint="eastAsia"/>
          <w:color w:val="444444"/>
          <w:kern w:val="0"/>
          <w:sz w:val="20"/>
          <w:szCs w:val="20"/>
        </w:rPr>
        <w:t>红色）。</w:t>
      </w:r>
      <w:r w:rsidR="007E333C" w:rsidRPr="007E333C">
        <w:rPr>
          <w:rFonts w:ascii="Helvetica" w:eastAsia="宋体" w:hAnsi="Helvetica" w:cs="Helvetica" w:hint="eastAsia"/>
          <w:color w:val="444444"/>
          <w:kern w:val="0"/>
          <w:sz w:val="20"/>
          <w:szCs w:val="20"/>
        </w:rPr>
        <w:t xml:space="preserve"> </w:t>
      </w:r>
      <w:r w:rsidR="007E333C" w:rsidRPr="007E333C">
        <w:rPr>
          <w:rFonts w:ascii="Helvetica" w:eastAsia="宋体" w:hAnsi="Helvetica" w:cs="Helvetica" w:hint="eastAsia"/>
          <w:color w:val="444444"/>
          <w:kern w:val="0"/>
          <w:sz w:val="20"/>
          <w:szCs w:val="20"/>
        </w:rPr>
        <w:t>水平</w:t>
      </w:r>
      <w:r w:rsidR="007E333C" w:rsidRPr="007E333C">
        <w:rPr>
          <w:rFonts w:ascii="Helvetica" w:eastAsia="宋体" w:hAnsi="Helvetica" w:cs="Helvetica" w:hint="eastAsia"/>
          <w:color w:val="444444"/>
          <w:kern w:val="0"/>
          <w:sz w:val="20"/>
          <w:szCs w:val="20"/>
        </w:rPr>
        <w:t xml:space="preserve"> - 1</w:t>
      </w:r>
      <w:r w:rsidR="007E333C" w:rsidRPr="007E333C">
        <w:rPr>
          <w:rFonts w:ascii="Helvetica" w:eastAsia="宋体" w:hAnsi="Helvetica" w:cs="Helvetica" w:hint="eastAsia"/>
          <w:color w:val="444444"/>
          <w:kern w:val="0"/>
          <w:sz w:val="20"/>
          <w:szCs w:val="20"/>
        </w:rPr>
        <w:t>个时期的价格弹性。</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4AD7D2AA" wp14:editId="54B99CB2">
            <wp:extent cx="3649649" cy="2212942"/>
            <wp:effectExtent l="0" t="0" r="8255" b="0"/>
            <wp:docPr id="12" name="图片 12" descr="https://gmcworld.org/files/uploads/mark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mcworld.org/files/uploads/marke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9514" cy="2212860"/>
                    </a:xfrm>
                    <a:prstGeom prst="rect">
                      <a:avLst/>
                    </a:prstGeom>
                    <a:noFill/>
                    <a:ln>
                      <a:noFill/>
                    </a:ln>
                  </pic:spPr>
                </pic:pic>
              </a:graphicData>
            </a:graphic>
          </wp:inline>
        </w:drawing>
      </w:r>
    </w:p>
    <w:p w:rsidR="007E333C" w:rsidRPr="00B31F72" w:rsidRDefault="007E333C" w:rsidP="006F511F">
      <w:pPr>
        <w:widowControl/>
        <w:shd w:val="clear" w:color="auto" w:fill="FFFFFF"/>
        <w:spacing w:after="150"/>
        <w:jc w:val="left"/>
        <w:rPr>
          <w:rFonts w:ascii="Helvetica" w:eastAsia="宋体" w:hAnsi="Helvetica" w:cs="Helvetica"/>
          <w:color w:val="444444"/>
          <w:kern w:val="0"/>
          <w:sz w:val="20"/>
          <w:szCs w:val="20"/>
        </w:rPr>
      </w:pPr>
      <w:r w:rsidRPr="007E333C">
        <w:rPr>
          <w:rFonts w:ascii="Helvetica" w:eastAsia="宋体" w:hAnsi="Helvetica" w:cs="Helvetica" w:hint="eastAsia"/>
          <w:color w:val="444444"/>
          <w:kern w:val="0"/>
          <w:sz w:val="20"/>
          <w:szCs w:val="20"/>
        </w:rPr>
        <w:lastRenderedPageBreak/>
        <w:t>市场负荷较高，价格弹性较低。</w:t>
      </w:r>
      <w:r w:rsidRPr="007E333C">
        <w:rPr>
          <w:rFonts w:ascii="Helvetica" w:eastAsia="宋体" w:hAnsi="Helvetica" w:cs="Helvetica" w:hint="eastAsia"/>
          <w:color w:val="444444"/>
          <w:kern w:val="0"/>
          <w:sz w:val="20"/>
          <w:szCs w:val="20"/>
        </w:rPr>
        <w:t xml:space="preserve"> </w:t>
      </w:r>
      <w:r w:rsidRPr="007E333C">
        <w:rPr>
          <w:rFonts w:ascii="Helvetica" w:eastAsia="宋体" w:hAnsi="Helvetica" w:cs="Helvetica" w:hint="eastAsia"/>
          <w:color w:val="444444"/>
          <w:kern w:val="0"/>
          <w:sz w:val="20"/>
          <w:szCs w:val="20"/>
        </w:rPr>
        <w:t>这意味着市场负荷较小的弱势群体的价格变化（例如减少</w:t>
      </w:r>
      <w:r w:rsidRPr="007E333C">
        <w:rPr>
          <w:rFonts w:ascii="Helvetica" w:eastAsia="宋体" w:hAnsi="Helvetica" w:cs="Helvetica" w:hint="eastAsia"/>
          <w:color w:val="444444"/>
          <w:kern w:val="0"/>
          <w:sz w:val="20"/>
          <w:szCs w:val="20"/>
        </w:rPr>
        <w:t>5</w:t>
      </w:r>
      <w:r w:rsidRPr="007E333C">
        <w:rPr>
          <w:rFonts w:ascii="Helvetica" w:eastAsia="宋体" w:hAnsi="Helvetica" w:cs="Helvetica" w:hint="eastAsia"/>
          <w:color w:val="444444"/>
          <w:kern w:val="0"/>
          <w:sz w:val="20"/>
          <w:szCs w:val="20"/>
        </w:rPr>
        <w:t>个单位），您的销售额增长将高于市场负荷较大的集团。</w:t>
      </w:r>
    </w:p>
    <w:p w:rsidR="006F511F" w:rsidRPr="00B31F72" w:rsidRDefault="006F511F" w:rsidP="007E333C">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Pr>
          <w:rFonts w:ascii="Helvetica" w:eastAsia="宋体" w:hAnsi="Helvetica" w:cs="Helvetica" w:hint="eastAsia"/>
          <w:b/>
          <w:bCs/>
          <w:color w:val="444444"/>
          <w:kern w:val="0"/>
          <w:sz w:val="20"/>
          <w:szCs w:val="20"/>
          <w:bdr w:val="none" w:sz="0" w:space="0" w:color="auto" w:frame="1"/>
        </w:rPr>
        <w:t>场景</w:t>
      </w:r>
      <w:r w:rsidR="007E333C">
        <w:rPr>
          <w:rFonts w:ascii="Helvetica" w:eastAsia="宋体" w:hAnsi="Helvetica" w:cs="Helvetica" w:hint="eastAsia"/>
          <w:b/>
          <w:bCs/>
          <w:color w:val="444444"/>
          <w:kern w:val="0"/>
          <w:sz w:val="20"/>
          <w:szCs w:val="20"/>
          <w:bdr w:val="none" w:sz="0" w:space="0" w:color="auto" w:frame="1"/>
        </w:rPr>
        <w:t>12C3</w:t>
      </w:r>
    </w:p>
    <w:p w:rsidR="006F511F" w:rsidRPr="00B31F72" w:rsidRDefault="007E333C" w:rsidP="006F511F">
      <w:pPr>
        <w:widowControl/>
        <w:shd w:val="clear" w:color="auto" w:fill="FFFFFF"/>
        <w:spacing w:after="150"/>
        <w:jc w:val="left"/>
        <w:rPr>
          <w:rFonts w:ascii="Helvetica" w:eastAsia="宋体" w:hAnsi="Helvetica" w:cs="Helvetica"/>
          <w:color w:val="444444"/>
          <w:kern w:val="0"/>
          <w:sz w:val="20"/>
          <w:szCs w:val="20"/>
        </w:rPr>
      </w:pPr>
      <w:r w:rsidRPr="007E333C">
        <w:rPr>
          <w:rFonts w:ascii="Helvetica" w:eastAsia="宋体" w:hAnsi="Helvetica" w:cs="Helvetica" w:hint="eastAsia"/>
          <w:color w:val="444444"/>
          <w:kern w:val="0"/>
          <w:sz w:val="20"/>
          <w:szCs w:val="20"/>
        </w:rPr>
        <w:t>让情况</w:t>
      </w:r>
      <w:r w:rsidRPr="007E333C">
        <w:rPr>
          <w:rFonts w:ascii="Helvetica" w:eastAsia="宋体" w:hAnsi="Helvetica" w:cs="Helvetica" w:hint="eastAsia"/>
          <w:color w:val="444444"/>
          <w:kern w:val="0"/>
          <w:sz w:val="20"/>
          <w:szCs w:val="20"/>
        </w:rPr>
        <w:t>12C3</w:t>
      </w:r>
      <w:r w:rsidRPr="007E333C">
        <w:rPr>
          <w:rFonts w:ascii="Helvetica" w:eastAsia="宋体" w:hAnsi="Helvetica" w:cs="Helvetica" w:hint="eastAsia"/>
          <w:color w:val="444444"/>
          <w:kern w:val="0"/>
          <w:sz w:val="20"/>
          <w:szCs w:val="20"/>
        </w:rPr>
        <w:t>的价格弹性也一样。</w:t>
      </w:r>
    </w:p>
    <w:tbl>
      <w:tblPr>
        <w:tblStyle w:val="aa"/>
        <w:tblW w:w="0" w:type="auto"/>
        <w:tblLook w:val="04A0" w:firstRow="1" w:lastRow="0" w:firstColumn="1" w:lastColumn="0" w:noHBand="0" w:noVBand="1"/>
      </w:tblPr>
      <w:tblGrid>
        <w:gridCol w:w="816"/>
        <w:gridCol w:w="784"/>
        <w:gridCol w:w="784"/>
        <w:gridCol w:w="784"/>
      </w:tblGrid>
      <w:tr w:rsidR="007E333C" w:rsidRPr="00B31F72" w:rsidTr="0030701E">
        <w:tc>
          <w:tcPr>
            <w:tcW w:w="0" w:type="auto"/>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弹性</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sidRPr="00B31F72">
              <w:rPr>
                <w:rFonts w:ascii="Helvetica" w:eastAsia="宋体" w:hAnsi="Helvetica" w:cs="Helvetica"/>
                <w:color w:val="444444"/>
                <w:kern w:val="0"/>
                <w:sz w:val="20"/>
                <w:szCs w:val="20"/>
              </w:rPr>
              <w:t>1</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sidRPr="00B31F72">
              <w:rPr>
                <w:rFonts w:ascii="Helvetica" w:eastAsia="宋体" w:hAnsi="Helvetica" w:cs="Helvetica"/>
                <w:color w:val="444444"/>
                <w:kern w:val="0"/>
                <w:sz w:val="20"/>
                <w:szCs w:val="20"/>
              </w:rPr>
              <w:t>2</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3</w:t>
            </w:r>
          </w:p>
        </w:tc>
      </w:tr>
      <w:tr w:rsidR="007E333C" w:rsidRPr="00B31F72" w:rsidTr="0030701E">
        <w:tc>
          <w:tcPr>
            <w:tcW w:w="0" w:type="auto"/>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国内</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-6,372</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-6,527</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-3,400</w:t>
            </w:r>
          </w:p>
        </w:tc>
      </w:tr>
      <w:tr w:rsidR="007E333C" w:rsidRPr="00B31F72" w:rsidTr="0030701E">
        <w:tc>
          <w:tcPr>
            <w:tcW w:w="0" w:type="auto"/>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北美</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-6,372</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-6,527</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-3,400</w:t>
            </w:r>
          </w:p>
        </w:tc>
      </w:tr>
      <w:tr w:rsidR="007E333C" w:rsidRPr="00B31F72" w:rsidTr="0030701E">
        <w:tc>
          <w:tcPr>
            <w:tcW w:w="0" w:type="auto"/>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互联网</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-3,774</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-3,172</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-1,924</w:t>
            </w:r>
          </w:p>
        </w:tc>
      </w:tr>
    </w:tbl>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p>
    <w:p w:rsidR="006F511F" w:rsidRPr="00B31F72" w:rsidRDefault="007E333C" w:rsidP="006F511F">
      <w:pPr>
        <w:widowControl/>
        <w:shd w:val="clear" w:color="auto" w:fill="FFFFFF"/>
        <w:spacing w:after="150"/>
        <w:jc w:val="left"/>
        <w:rPr>
          <w:rFonts w:ascii="Helvetica" w:eastAsia="宋体" w:hAnsi="Helvetica" w:cs="Helvetica"/>
          <w:color w:val="444444"/>
          <w:kern w:val="0"/>
          <w:sz w:val="20"/>
          <w:szCs w:val="20"/>
        </w:rPr>
      </w:pPr>
      <w:r w:rsidRPr="007E333C">
        <w:rPr>
          <w:rFonts w:ascii="Helvetica" w:eastAsia="宋体" w:hAnsi="Helvetica" w:cs="Helvetica" w:hint="eastAsia"/>
          <w:color w:val="444444"/>
          <w:kern w:val="0"/>
          <w:sz w:val="20"/>
          <w:szCs w:val="20"/>
        </w:rPr>
        <w:t>所有公司的市场份额按照</w:t>
      </w:r>
      <w:r w:rsidRPr="007E333C">
        <w:rPr>
          <w:rFonts w:ascii="Helvetica" w:eastAsia="宋体" w:hAnsi="Helvetica" w:cs="Helvetica" w:hint="eastAsia"/>
          <w:color w:val="444444"/>
          <w:kern w:val="0"/>
          <w:sz w:val="20"/>
          <w:szCs w:val="20"/>
        </w:rPr>
        <w:t>1</w:t>
      </w:r>
      <w:r w:rsidRPr="007E333C">
        <w:rPr>
          <w:rFonts w:ascii="Helvetica" w:eastAsia="宋体" w:hAnsi="Helvetica" w:cs="Helvetica" w:hint="eastAsia"/>
          <w:color w:val="444444"/>
          <w:kern w:val="0"/>
          <w:sz w:val="20"/>
          <w:szCs w:val="20"/>
        </w:rPr>
        <w:t>个时段的营销信息总和。</w:t>
      </w:r>
    </w:p>
    <w:tbl>
      <w:tblPr>
        <w:tblStyle w:val="aa"/>
        <w:tblW w:w="0" w:type="auto"/>
        <w:tblLook w:val="04A0" w:firstRow="1" w:lastRow="0" w:firstColumn="1" w:lastColumn="0" w:noHBand="0" w:noVBand="1"/>
      </w:tblPr>
      <w:tblGrid>
        <w:gridCol w:w="1016"/>
        <w:gridCol w:w="778"/>
        <w:gridCol w:w="778"/>
        <w:gridCol w:w="778"/>
      </w:tblGrid>
      <w:tr w:rsidR="007E333C" w:rsidRPr="00B31F72" w:rsidTr="007E333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市场负荷</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sidRPr="00B31F72">
              <w:rPr>
                <w:rFonts w:ascii="Helvetica" w:eastAsia="宋体" w:hAnsi="Helvetica" w:cs="Helvetica"/>
                <w:color w:val="444444"/>
                <w:kern w:val="0"/>
                <w:sz w:val="20"/>
                <w:szCs w:val="20"/>
              </w:rPr>
              <w:t>1</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sidRPr="00B31F72">
              <w:rPr>
                <w:rFonts w:ascii="Helvetica" w:eastAsia="宋体" w:hAnsi="Helvetica" w:cs="Helvetica"/>
                <w:color w:val="444444"/>
                <w:kern w:val="0"/>
                <w:sz w:val="20"/>
                <w:szCs w:val="20"/>
              </w:rPr>
              <w:t>2</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产品</w:t>
            </w:r>
            <w:r>
              <w:rPr>
                <w:rFonts w:ascii="Helvetica" w:eastAsia="宋体" w:hAnsi="Helvetica" w:cs="Helvetica" w:hint="eastAsia"/>
                <w:color w:val="444444"/>
                <w:kern w:val="0"/>
                <w:sz w:val="20"/>
                <w:szCs w:val="20"/>
              </w:rPr>
              <w:t>3</w:t>
            </w:r>
          </w:p>
        </w:tc>
      </w:tr>
      <w:tr w:rsidR="007E333C" w:rsidRPr="00B31F72" w:rsidTr="007E333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国内</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20</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6</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20</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1</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49</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9</w:t>
            </w:r>
          </w:p>
        </w:tc>
      </w:tr>
      <w:tr w:rsidR="007E333C" w:rsidRPr="00B31F72" w:rsidTr="007E333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北美</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30</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4</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29</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6</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62</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6</w:t>
            </w:r>
          </w:p>
        </w:tc>
      </w:tr>
      <w:tr w:rsidR="007E333C" w:rsidRPr="00B31F72" w:rsidTr="007E333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互联网</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60</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5</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68</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4</w:t>
            </w:r>
          </w:p>
        </w:tc>
        <w:tc>
          <w:tcPr>
            <w:tcW w:w="0" w:type="auto"/>
            <w:hideMark/>
          </w:tcPr>
          <w:p w:rsidR="007E333C" w:rsidRPr="00B31F72" w:rsidRDefault="007E333C" w:rsidP="00920A53">
            <w:pPr>
              <w:widowControl/>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81</w:t>
            </w:r>
            <w:r>
              <w:rPr>
                <w:rFonts w:ascii="Helvetica" w:eastAsia="宋体" w:hAnsi="Helvetica" w:cs="Helvetica"/>
                <w:color w:val="444444"/>
                <w:kern w:val="0"/>
                <w:sz w:val="20"/>
                <w:szCs w:val="20"/>
              </w:rPr>
              <w:t>.</w:t>
            </w:r>
            <w:r w:rsidRPr="00B31F72">
              <w:rPr>
                <w:rFonts w:ascii="Helvetica" w:eastAsia="宋体" w:hAnsi="Helvetica" w:cs="Helvetica"/>
                <w:color w:val="444444"/>
                <w:kern w:val="0"/>
                <w:sz w:val="20"/>
                <w:szCs w:val="20"/>
              </w:rPr>
              <w:t>8</w:t>
            </w:r>
          </w:p>
        </w:tc>
      </w:tr>
    </w:tbl>
    <w:p w:rsidR="007E333C"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sidRPr="007E333C">
        <w:rPr>
          <w:rFonts w:ascii="Helvetica" w:eastAsia="宋体" w:hAnsi="Helvetica" w:cs="Helvetica" w:hint="eastAsia"/>
          <w:color w:val="444444"/>
          <w:kern w:val="0"/>
          <w:sz w:val="20"/>
          <w:szCs w:val="20"/>
        </w:rPr>
        <w:t>在图中垂直</w:t>
      </w:r>
      <w:r w:rsidR="007E333C" w:rsidRPr="007E333C">
        <w:rPr>
          <w:rFonts w:ascii="Helvetica" w:eastAsia="宋体" w:hAnsi="Helvetica" w:cs="Helvetica" w:hint="eastAsia"/>
          <w:color w:val="444444"/>
          <w:kern w:val="0"/>
          <w:sz w:val="20"/>
          <w:szCs w:val="20"/>
        </w:rPr>
        <w:t xml:space="preserve"> - </w:t>
      </w:r>
      <w:r w:rsidR="007E333C" w:rsidRPr="007E333C">
        <w:rPr>
          <w:rFonts w:ascii="Helvetica" w:eastAsia="宋体" w:hAnsi="Helvetica" w:cs="Helvetica" w:hint="eastAsia"/>
          <w:color w:val="444444"/>
          <w:kern w:val="0"/>
          <w:sz w:val="20"/>
          <w:szCs w:val="20"/>
        </w:rPr>
        <w:t>市场负荷（</w:t>
      </w:r>
      <w:r w:rsidR="007E333C">
        <w:rPr>
          <w:rFonts w:ascii="Helvetica" w:eastAsia="宋体" w:hAnsi="Helvetica" w:cs="Helvetica" w:hint="eastAsia"/>
          <w:color w:val="444444"/>
          <w:kern w:val="0"/>
          <w:sz w:val="20"/>
          <w:szCs w:val="20"/>
        </w:rPr>
        <w:t>国内</w:t>
      </w:r>
      <w:r w:rsidR="007E333C">
        <w:rPr>
          <w:rFonts w:ascii="Helvetica" w:eastAsia="宋体" w:hAnsi="Helvetica" w:cs="Helvetica" w:hint="eastAsia"/>
          <w:color w:val="444444"/>
          <w:kern w:val="0"/>
          <w:sz w:val="20"/>
          <w:szCs w:val="20"/>
        </w:rPr>
        <w:t xml:space="preserve"> </w:t>
      </w:r>
      <w:r w:rsidR="007E333C" w:rsidRPr="007E333C">
        <w:rPr>
          <w:rFonts w:ascii="Helvetica" w:eastAsia="宋体" w:hAnsi="Helvetica" w:cs="Helvetica" w:hint="eastAsia"/>
          <w:color w:val="444444"/>
          <w:kern w:val="0"/>
          <w:sz w:val="20"/>
          <w:szCs w:val="20"/>
        </w:rPr>
        <w:t xml:space="preserve">- </w:t>
      </w:r>
      <w:r w:rsidR="007E333C" w:rsidRPr="007E333C">
        <w:rPr>
          <w:rFonts w:ascii="Helvetica" w:eastAsia="宋体" w:hAnsi="Helvetica" w:cs="Helvetica" w:hint="eastAsia"/>
          <w:color w:val="444444"/>
          <w:kern w:val="0"/>
          <w:sz w:val="20"/>
          <w:szCs w:val="20"/>
        </w:rPr>
        <w:t>蓝色，</w:t>
      </w:r>
      <w:r w:rsidR="007E333C">
        <w:rPr>
          <w:rFonts w:ascii="Helvetica" w:eastAsia="宋体" w:hAnsi="Helvetica" w:cs="Helvetica" w:hint="eastAsia"/>
          <w:color w:val="444444"/>
          <w:kern w:val="0"/>
          <w:sz w:val="20"/>
          <w:szCs w:val="20"/>
        </w:rPr>
        <w:t>北美</w:t>
      </w:r>
      <w:r w:rsidR="007E333C">
        <w:rPr>
          <w:rFonts w:ascii="Helvetica" w:eastAsia="宋体" w:hAnsi="Helvetica" w:cs="Helvetica" w:hint="eastAsia"/>
          <w:color w:val="444444"/>
          <w:kern w:val="0"/>
          <w:sz w:val="20"/>
          <w:szCs w:val="20"/>
        </w:rPr>
        <w:t xml:space="preserve"> </w:t>
      </w:r>
      <w:r w:rsidR="007E333C" w:rsidRPr="007E333C">
        <w:rPr>
          <w:rFonts w:ascii="Helvetica" w:eastAsia="宋体" w:hAnsi="Helvetica" w:cs="Helvetica" w:hint="eastAsia"/>
          <w:color w:val="444444"/>
          <w:kern w:val="0"/>
          <w:sz w:val="20"/>
          <w:szCs w:val="20"/>
        </w:rPr>
        <w:t xml:space="preserve">- </w:t>
      </w:r>
      <w:r w:rsidR="007E333C" w:rsidRPr="007E333C">
        <w:rPr>
          <w:rFonts w:ascii="Helvetica" w:eastAsia="宋体" w:hAnsi="Helvetica" w:cs="Helvetica" w:hint="eastAsia"/>
          <w:color w:val="444444"/>
          <w:kern w:val="0"/>
          <w:sz w:val="20"/>
          <w:szCs w:val="20"/>
        </w:rPr>
        <w:t>绿色，互联网</w:t>
      </w:r>
      <w:r w:rsidR="007E333C" w:rsidRPr="007E333C">
        <w:rPr>
          <w:rFonts w:ascii="Helvetica" w:eastAsia="宋体" w:hAnsi="Helvetica" w:cs="Helvetica" w:hint="eastAsia"/>
          <w:color w:val="444444"/>
          <w:kern w:val="0"/>
          <w:sz w:val="20"/>
          <w:szCs w:val="20"/>
        </w:rPr>
        <w:t xml:space="preserve"> - </w:t>
      </w:r>
      <w:r w:rsidR="007E333C" w:rsidRPr="007E333C">
        <w:rPr>
          <w:rFonts w:ascii="Helvetica" w:eastAsia="宋体" w:hAnsi="Helvetica" w:cs="Helvetica" w:hint="eastAsia"/>
          <w:color w:val="444444"/>
          <w:kern w:val="0"/>
          <w:sz w:val="20"/>
          <w:szCs w:val="20"/>
        </w:rPr>
        <w:t>红色）。</w:t>
      </w:r>
      <w:r w:rsidR="007E333C" w:rsidRPr="007E333C">
        <w:rPr>
          <w:rFonts w:ascii="Helvetica" w:eastAsia="宋体" w:hAnsi="Helvetica" w:cs="Helvetica" w:hint="eastAsia"/>
          <w:color w:val="444444"/>
          <w:kern w:val="0"/>
          <w:sz w:val="20"/>
          <w:szCs w:val="20"/>
        </w:rPr>
        <w:t xml:space="preserve"> </w:t>
      </w:r>
      <w:r w:rsidR="007E333C" w:rsidRPr="007E333C">
        <w:rPr>
          <w:rFonts w:ascii="Helvetica" w:eastAsia="宋体" w:hAnsi="Helvetica" w:cs="Helvetica" w:hint="eastAsia"/>
          <w:color w:val="444444"/>
          <w:kern w:val="0"/>
          <w:sz w:val="20"/>
          <w:szCs w:val="20"/>
        </w:rPr>
        <w:t>水平</w:t>
      </w:r>
      <w:r w:rsidR="007E333C" w:rsidRPr="007E333C">
        <w:rPr>
          <w:rFonts w:ascii="Helvetica" w:eastAsia="宋体" w:hAnsi="Helvetica" w:cs="Helvetica" w:hint="eastAsia"/>
          <w:color w:val="444444"/>
          <w:kern w:val="0"/>
          <w:sz w:val="20"/>
          <w:szCs w:val="20"/>
        </w:rPr>
        <w:t xml:space="preserve"> - 1</w:t>
      </w:r>
      <w:r w:rsidR="007E333C" w:rsidRPr="007E333C">
        <w:rPr>
          <w:rFonts w:ascii="Helvetica" w:eastAsia="宋体" w:hAnsi="Helvetica" w:cs="Helvetica" w:hint="eastAsia"/>
          <w:color w:val="444444"/>
          <w:kern w:val="0"/>
          <w:sz w:val="20"/>
          <w:szCs w:val="20"/>
        </w:rPr>
        <w:t>个时期的价格弹性。</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6FBD49CE" wp14:editId="4BC54850">
            <wp:extent cx="4531995" cy="2759075"/>
            <wp:effectExtent l="0" t="0" r="1905" b="3175"/>
            <wp:docPr id="13" name="图片 13" descr="https://gmcworld.org/files/uploads/mark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mcworld.org/files/uploads/market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1995" cy="2759075"/>
                    </a:xfrm>
                    <a:prstGeom prst="rect">
                      <a:avLst/>
                    </a:prstGeom>
                    <a:noFill/>
                    <a:ln>
                      <a:noFill/>
                    </a:ln>
                  </pic:spPr>
                </pic:pic>
              </a:graphicData>
            </a:graphic>
          </wp:inline>
        </w:drawing>
      </w:r>
    </w:p>
    <w:p w:rsidR="007E333C" w:rsidRPr="00B31F72" w:rsidRDefault="007E333C" w:rsidP="006F511F">
      <w:pPr>
        <w:widowControl/>
        <w:shd w:val="clear" w:color="auto" w:fill="FFFFFF"/>
        <w:spacing w:after="150"/>
        <w:jc w:val="left"/>
        <w:rPr>
          <w:rFonts w:ascii="Helvetica" w:eastAsia="宋体" w:hAnsi="Helvetica" w:cs="Helvetica"/>
          <w:color w:val="444444"/>
          <w:kern w:val="0"/>
          <w:sz w:val="20"/>
          <w:szCs w:val="20"/>
        </w:rPr>
      </w:pPr>
      <w:r w:rsidRPr="007E333C">
        <w:rPr>
          <w:rFonts w:ascii="Helvetica" w:eastAsia="宋体" w:hAnsi="Helvetica" w:cs="Helvetica" w:hint="eastAsia"/>
          <w:color w:val="444444"/>
          <w:kern w:val="0"/>
          <w:sz w:val="20"/>
          <w:szCs w:val="20"/>
        </w:rPr>
        <w:t>分析显示线路点略有偏离趋势，市场负荷也略有不同</w:t>
      </w:r>
      <w:r w:rsidRPr="007E333C">
        <w:rPr>
          <w:rFonts w:ascii="Helvetica" w:eastAsia="宋体" w:hAnsi="Helvetica" w:cs="Helvetica" w:hint="eastAsia"/>
          <w:color w:val="444444"/>
          <w:kern w:val="0"/>
          <w:sz w:val="20"/>
          <w:szCs w:val="20"/>
        </w:rPr>
        <w:t xml:space="preserve"> - </w:t>
      </w:r>
      <w:r w:rsidRPr="007E333C">
        <w:rPr>
          <w:rFonts w:ascii="Helvetica" w:eastAsia="宋体" w:hAnsi="Helvetica" w:cs="Helvetica" w:hint="eastAsia"/>
          <w:color w:val="444444"/>
          <w:kern w:val="0"/>
          <w:sz w:val="20"/>
          <w:szCs w:val="20"/>
        </w:rPr>
        <w:t>差距约为</w:t>
      </w:r>
      <w:r w:rsidRPr="007E333C">
        <w:rPr>
          <w:rFonts w:ascii="Helvetica" w:eastAsia="宋体" w:hAnsi="Helvetica" w:cs="Helvetica" w:hint="eastAsia"/>
          <w:color w:val="444444"/>
          <w:kern w:val="0"/>
          <w:sz w:val="20"/>
          <w:szCs w:val="20"/>
        </w:rPr>
        <w:t>5</w:t>
      </w:r>
      <w:r w:rsidRPr="007E333C">
        <w:rPr>
          <w:rFonts w:ascii="Helvetica" w:eastAsia="宋体" w:hAnsi="Helvetica" w:cs="Helvetica" w:hint="eastAsia"/>
          <w:color w:val="444444"/>
          <w:kern w:val="0"/>
          <w:sz w:val="20"/>
          <w:szCs w:val="20"/>
        </w:rPr>
        <w:t>％，这是由几个测试组的市场份额平均值引起的。</w:t>
      </w:r>
      <w:r w:rsidRPr="007E333C">
        <w:rPr>
          <w:rFonts w:ascii="Helvetica" w:eastAsia="宋体" w:hAnsi="Helvetica" w:cs="Helvetica" w:hint="eastAsia"/>
          <w:color w:val="444444"/>
          <w:kern w:val="0"/>
          <w:sz w:val="20"/>
          <w:szCs w:val="20"/>
        </w:rPr>
        <w:t xml:space="preserve"> </w:t>
      </w:r>
      <w:r w:rsidRPr="007E333C">
        <w:rPr>
          <w:rFonts w:ascii="Helvetica" w:eastAsia="宋体" w:hAnsi="Helvetica" w:cs="Helvetica" w:hint="eastAsia"/>
          <w:color w:val="444444"/>
          <w:kern w:val="0"/>
          <w:sz w:val="20"/>
          <w:szCs w:val="20"/>
        </w:rPr>
        <w:t>我们可以得出结论，本期可能的市场负荷会影响当期的需求因素。</w:t>
      </w:r>
    </w:p>
    <w:p w:rsidR="007E333C" w:rsidRPr="00B31F72" w:rsidRDefault="007E333C" w:rsidP="006F511F">
      <w:pPr>
        <w:widowControl/>
        <w:shd w:val="clear" w:color="auto" w:fill="FFFFFF"/>
        <w:spacing w:after="150"/>
        <w:jc w:val="left"/>
        <w:rPr>
          <w:rFonts w:ascii="Helvetica" w:eastAsia="宋体" w:hAnsi="Helvetica" w:cs="Helvetica"/>
          <w:color w:val="444444"/>
          <w:kern w:val="0"/>
          <w:sz w:val="20"/>
          <w:szCs w:val="20"/>
        </w:rPr>
      </w:pPr>
      <w:r w:rsidRPr="007E333C">
        <w:rPr>
          <w:rFonts w:ascii="Helvetica" w:eastAsia="宋体" w:hAnsi="Helvetica" w:cs="Helvetica" w:hint="eastAsia"/>
          <w:color w:val="444444"/>
          <w:kern w:val="0"/>
          <w:sz w:val="20"/>
          <w:szCs w:val="20"/>
        </w:rPr>
        <w:t>在相同图形上的情景</w:t>
      </w:r>
      <w:r w:rsidRPr="007E333C">
        <w:rPr>
          <w:rFonts w:ascii="Helvetica" w:eastAsia="宋体" w:hAnsi="Helvetica" w:cs="Helvetica" w:hint="eastAsia"/>
          <w:color w:val="444444"/>
          <w:kern w:val="0"/>
          <w:sz w:val="20"/>
          <w:szCs w:val="20"/>
        </w:rPr>
        <w:t>12C1</w:t>
      </w:r>
      <w:r w:rsidRPr="007E333C">
        <w:rPr>
          <w:rFonts w:ascii="Helvetica" w:eastAsia="宋体" w:hAnsi="Helvetica" w:cs="Helvetica" w:hint="eastAsia"/>
          <w:color w:val="444444"/>
          <w:kern w:val="0"/>
          <w:sz w:val="20"/>
          <w:szCs w:val="20"/>
        </w:rPr>
        <w:t>和</w:t>
      </w:r>
      <w:r w:rsidRPr="007E333C">
        <w:rPr>
          <w:rFonts w:ascii="Helvetica" w:eastAsia="宋体" w:hAnsi="Helvetica" w:cs="Helvetica" w:hint="eastAsia"/>
          <w:color w:val="444444"/>
          <w:kern w:val="0"/>
          <w:sz w:val="20"/>
          <w:szCs w:val="20"/>
        </w:rPr>
        <w:t>12C3</w:t>
      </w:r>
      <w:r w:rsidRPr="007E333C">
        <w:rPr>
          <w:rFonts w:ascii="Helvetica" w:eastAsia="宋体" w:hAnsi="Helvetica" w:cs="Helvetica" w:hint="eastAsia"/>
          <w:color w:val="444444"/>
          <w:kern w:val="0"/>
          <w:sz w:val="20"/>
          <w:szCs w:val="20"/>
        </w:rPr>
        <w:t>的每个市场的兼容弹性。</w:t>
      </w:r>
    </w:p>
    <w:p w:rsidR="006F511F" w:rsidRPr="00B31F72" w:rsidRDefault="006F511F" w:rsidP="007E333C">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Pr>
          <w:rFonts w:ascii="Helvetica" w:eastAsia="宋体" w:hAnsi="Helvetica" w:cs="Helvetica" w:hint="eastAsia"/>
          <w:b/>
          <w:bCs/>
          <w:color w:val="444444"/>
          <w:kern w:val="0"/>
          <w:sz w:val="20"/>
          <w:szCs w:val="20"/>
          <w:bdr w:val="none" w:sz="0" w:space="0" w:color="auto" w:frame="1"/>
        </w:rPr>
        <w:t>国内</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14:anchorId="6A74153A" wp14:editId="025F4F0E">
            <wp:extent cx="4452620" cy="2361565"/>
            <wp:effectExtent l="0" t="0" r="5080" b="635"/>
            <wp:docPr id="14" name="图片 14" descr="https://gmcworld.org/files/uploads/mark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mcworld.org/files/uploads/market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2620" cy="2361565"/>
                    </a:xfrm>
                    <a:prstGeom prst="rect">
                      <a:avLst/>
                    </a:prstGeom>
                    <a:noFill/>
                    <a:ln>
                      <a:noFill/>
                    </a:ln>
                  </pic:spPr>
                </pic:pic>
              </a:graphicData>
            </a:graphic>
          </wp:inline>
        </w:drawing>
      </w:r>
    </w:p>
    <w:p w:rsidR="006F511F" w:rsidRPr="00B31F72" w:rsidRDefault="006F511F" w:rsidP="007E333C">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Pr>
          <w:rFonts w:ascii="Helvetica" w:eastAsia="宋体" w:hAnsi="Helvetica" w:cs="Helvetica" w:hint="eastAsia"/>
          <w:b/>
          <w:bCs/>
          <w:color w:val="444444"/>
          <w:kern w:val="0"/>
          <w:sz w:val="20"/>
          <w:szCs w:val="20"/>
          <w:bdr w:val="none" w:sz="0" w:space="0" w:color="auto" w:frame="1"/>
        </w:rPr>
        <w:t>北美</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1D687EAA" wp14:editId="4CD00A8A">
            <wp:extent cx="4389120" cy="2361565"/>
            <wp:effectExtent l="0" t="0" r="0" b="635"/>
            <wp:docPr id="15" name="图片 15" descr="https://gmcworld.org/files/uploads/mark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mcworld.org/files/uploads/marke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2361565"/>
                    </a:xfrm>
                    <a:prstGeom prst="rect">
                      <a:avLst/>
                    </a:prstGeom>
                    <a:noFill/>
                    <a:ln>
                      <a:noFill/>
                    </a:ln>
                  </pic:spPr>
                </pic:pic>
              </a:graphicData>
            </a:graphic>
          </wp:inline>
        </w:drawing>
      </w:r>
    </w:p>
    <w:p w:rsidR="006F511F" w:rsidRPr="00B31F72" w:rsidRDefault="006F511F" w:rsidP="007E333C">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Pr>
          <w:rFonts w:ascii="Helvetica" w:eastAsia="宋体" w:hAnsi="Helvetica" w:cs="Helvetica" w:hint="eastAsia"/>
          <w:b/>
          <w:bCs/>
          <w:color w:val="444444"/>
          <w:kern w:val="0"/>
          <w:sz w:val="20"/>
          <w:szCs w:val="20"/>
          <w:bdr w:val="none" w:sz="0" w:space="0" w:color="auto" w:frame="1"/>
        </w:rPr>
        <w:t>互联网</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64312540" wp14:editId="4C6EEF47">
            <wp:extent cx="4420870" cy="2353310"/>
            <wp:effectExtent l="0" t="0" r="0" b="8890"/>
            <wp:docPr id="16" name="图片 16" descr="https://gmcworld.org/files/uploads/marke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mcworld.org/files/uploads/market_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0870" cy="2353310"/>
                    </a:xfrm>
                    <a:prstGeom prst="rect">
                      <a:avLst/>
                    </a:prstGeom>
                    <a:noFill/>
                    <a:ln>
                      <a:noFill/>
                    </a:ln>
                  </pic:spPr>
                </pic:pic>
              </a:graphicData>
            </a:graphic>
          </wp:inline>
        </w:drawing>
      </w:r>
    </w:p>
    <w:p w:rsidR="007E333C" w:rsidRPr="00B31F72" w:rsidRDefault="007E333C" w:rsidP="006F511F">
      <w:pPr>
        <w:widowControl/>
        <w:shd w:val="clear" w:color="auto" w:fill="FFFFFF"/>
        <w:spacing w:after="150"/>
        <w:jc w:val="left"/>
        <w:rPr>
          <w:rFonts w:ascii="Helvetica" w:eastAsia="宋体" w:hAnsi="Helvetica" w:cs="Helvetica"/>
          <w:color w:val="444444"/>
          <w:kern w:val="0"/>
          <w:sz w:val="20"/>
          <w:szCs w:val="20"/>
        </w:rPr>
      </w:pPr>
      <w:r w:rsidRPr="007E333C">
        <w:rPr>
          <w:rFonts w:ascii="Helvetica" w:eastAsia="宋体" w:hAnsi="Helvetica" w:cs="Helvetica" w:hint="eastAsia"/>
          <w:color w:val="444444"/>
          <w:kern w:val="0"/>
          <w:sz w:val="20"/>
          <w:szCs w:val="20"/>
        </w:rPr>
        <w:t>考虑到价格弹性和市场负荷的估计误差，情景没有差异。</w:t>
      </w:r>
      <w:r w:rsidRPr="007E333C">
        <w:rPr>
          <w:rFonts w:ascii="Helvetica" w:eastAsia="宋体" w:hAnsi="Helvetica" w:cs="Helvetica" w:hint="eastAsia"/>
          <w:color w:val="444444"/>
          <w:kern w:val="0"/>
          <w:sz w:val="20"/>
          <w:szCs w:val="20"/>
        </w:rPr>
        <w:t xml:space="preserve"> </w:t>
      </w:r>
      <w:r w:rsidRPr="007E333C">
        <w:rPr>
          <w:rFonts w:ascii="Helvetica" w:eastAsia="宋体" w:hAnsi="Helvetica" w:cs="Helvetica" w:hint="eastAsia"/>
          <w:color w:val="444444"/>
          <w:kern w:val="0"/>
          <w:sz w:val="20"/>
          <w:szCs w:val="20"/>
        </w:rPr>
        <w:t>弹性与市场负荷成正比。</w:t>
      </w:r>
      <w:r w:rsidRPr="007E333C">
        <w:rPr>
          <w:rFonts w:ascii="Helvetica" w:eastAsia="宋体" w:hAnsi="Helvetica" w:cs="Helvetica" w:hint="eastAsia"/>
          <w:color w:val="444444"/>
          <w:kern w:val="0"/>
          <w:sz w:val="20"/>
          <w:szCs w:val="20"/>
        </w:rPr>
        <w:t xml:space="preserve"> </w:t>
      </w:r>
      <w:r w:rsidRPr="007E333C">
        <w:rPr>
          <w:rFonts w:ascii="Helvetica" w:eastAsia="宋体" w:hAnsi="Helvetica" w:cs="Helvetica" w:hint="eastAsia"/>
          <w:color w:val="444444"/>
          <w:kern w:val="0"/>
          <w:sz w:val="20"/>
          <w:szCs w:val="20"/>
        </w:rPr>
        <w:t>当您预测销售量时，有必要预测市场负荷变化以纠正需求因素的影响。</w:t>
      </w:r>
    </w:p>
    <w:p w:rsidR="007E333C" w:rsidRPr="00B31F72" w:rsidRDefault="007E333C" w:rsidP="006F511F">
      <w:pPr>
        <w:widowControl/>
        <w:shd w:val="clear" w:color="auto" w:fill="FFFFFF"/>
        <w:spacing w:after="150"/>
        <w:jc w:val="left"/>
        <w:rPr>
          <w:rFonts w:ascii="Helvetica" w:eastAsia="宋体" w:hAnsi="Helvetica" w:cs="Helvetica"/>
          <w:color w:val="444444"/>
          <w:kern w:val="0"/>
          <w:sz w:val="20"/>
          <w:szCs w:val="20"/>
        </w:rPr>
      </w:pPr>
      <w:r w:rsidRPr="007E333C">
        <w:rPr>
          <w:rFonts w:ascii="Helvetica" w:eastAsia="宋体" w:hAnsi="Helvetica" w:cs="Helvetica" w:hint="eastAsia"/>
          <w:color w:val="444444"/>
          <w:kern w:val="0"/>
          <w:sz w:val="20"/>
          <w:szCs w:val="20"/>
        </w:rPr>
        <w:t>我们将趋势线延伸到与轴</w:t>
      </w:r>
      <w:r w:rsidRPr="007E333C">
        <w:rPr>
          <w:rFonts w:ascii="Helvetica" w:eastAsia="宋体" w:hAnsi="Helvetica" w:cs="Helvetica" w:hint="eastAsia"/>
          <w:color w:val="444444"/>
          <w:kern w:val="0"/>
          <w:sz w:val="20"/>
          <w:szCs w:val="20"/>
        </w:rPr>
        <w:t>OY</w:t>
      </w:r>
      <w:r w:rsidRPr="007E333C">
        <w:rPr>
          <w:rFonts w:ascii="Helvetica" w:eastAsia="宋体" w:hAnsi="Helvetica" w:cs="Helvetica" w:hint="eastAsia"/>
          <w:color w:val="444444"/>
          <w:kern w:val="0"/>
          <w:sz w:val="20"/>
          <w:szCs w:val="20"/>
        </w:rPr>
        <w:t>的交点。从情景</w:t>
      </w:r>
      <w:r w:rsidRPr="007E333C">
        <w:rPr>
          <w:rFonts w:ascii="Helvetica" w:eastAsia="宋体" w:hAnsi="Helvetica" w:cs="Helvetica" w:hint="eastAsia"/>
          <w:color w:val="444444"/>
          <w:kern w:val="0"/>
          <w:sz w:val="20"/>
          <w:szCs w:val="20"/>
        </w:rPr>
        <w:t>12C1</w:t>
      </w:r>
      <w:r w:rsidRPr="007E333C">
        <w:rPr>
          <w:rFonts w:ascii="Helvetica" w:eastAsia="宋体" w:hAnsi="Helvetica" w:cs="Helvetica" w:hint="eastAsia"/>
          <w:color w:val="444444"/>
          <w:kern w:val="0"/>
          <w:sz w:val="20"/>
          <w:szCs w:val="20"/>
        </w:rPr>
        <w:t>（红色）继续趋势线，最清晰的计算。</w:t>
      </w:r>
    </w:p>
    <w:p w:rsidR="006F511F" w:rsidRPr="00B31F72" w:rsidRDefault="006F511F" w:rsidP="007E333C">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lastRenderedPageBreak/>
        <w:t> </w:t>
      </w:r>
      <w:r w:rsidR="007E333C">
        <w:rPr>
          <w:rFonts w:ascii="Helvetica" w:eastAsia="宋体" w:hAnsi="Helvetica" w:cs="Helvetica" w:hint="eastAsia"/>
          <w:b/>
          <w:bCs/>
          <w:color w:val="444444"/>
          <w:kern w:val="0"/>
          <w:sz w:val="20"/>
          <w:szCs w:val="20"/>
          <w:bdr w:val="none" w:sz="0" w:space="0" w:color="auto" w:frame="1"/>
        </w:rPr>
        <w:t>国内</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56DE4744" wp14:editId="2860D8B1">
            <wp:extent cx="4436745" cy="2353310"/>
            <wp:effectExtent l="0" t="0" r="1905" b="8890"/>
            <wp:docPr id="17" name="图片 17" descr="https://gmcworld.org/files/uploads/marke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mcworld.org/files/uploads/market_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6745" cy="2353310"/>
                    </a:xfrm>
                    <a:prstGeom prst="rect">
                      <a:avLst/>
                    </a:prstGeom>
                    <a:noFill/>
                    <a:ln>
                      <a:noFill/>
                    </a:ln>
                  </pic:spPr>
                </pic:pic>
              </a:graphicData>
            </a:graphic>
          </wp:inline>
        </w:drawing>
      </w:r>
    </w:p>
    <w:p w:rsidR="006F511F" w:rsidRPr="00B31F72" w:rsidRDefault="006F511F" w:rsidP="007E333C">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Pr>
          <w:rFonts w:ascii="Helvetica" w:eastAsia="宋体" w:hAnsi="Helvetica" w:cs="Helvetica" w:hint="eastAsia"/>
          <w:b/>
          <w:bCs/>
          <w:color w:val="444444"/>
          <w:kern w:val="0"/>
          <w:sz w:val="20"/>
          <w:szCs w:val="20"/>
          <w:bdr w:val="none" w:sz="0" w:space="0" w:color="auto" w:frame="1"/>
        </w:rPr>
        <w:t>北美</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2665C1BD" wp14:editId="28C6356C">
            <wp:extent cx="4452620" cy="2369185"/>
            <wp:effectExtent l="0" t="0" r="5080" b="0"/>
            <wp:docPr id="18" name="图片 18" descr="https://gmcworld.org/files/uploads/marke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mcworld.org/files/uploads/market_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2620" cy="2369185"/>
                    </a:xfrm>
                    <a:prstGeom prst="rect">
                      <a:avLst/>
                    </a:prstGeom>
                    <a:noFill/>
                    <a:ln>
                      <a:noFill/>
                    </a:ln>
                  </pic:spPr>
                </pic:pic>
              </a:graphicData>
            </a:graphic>
          </wp:inline>
        </w:drawing>
      </w:r>
    </w:p>
    <w:p w:rsidR="006F511F" w:rsidRPr="00B31F72" w:rsidRDefault="006F511F" w:rsidP="007E333C">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Pr>
          <w:rFonts w:ascii="Helvetica" w:eastAsia="宋体" w:hAnsi="Helvetica" w:cs="Helvetica" w:hint="eastAsia"/>
          <w:b/>
          <w:bCs/>
          <w:color w:val="444444"/>
          <w:kern w:val="0"/>
          <w:sz w:val="20"/>
          <w:szCs w:val="20"/>
          <w:bdr w:val="none" w:sz="0" w:space="0" w:color="auto" w:frame="1"/>
        </w:rPr>
        <w:t>互联网</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56FC27D5" wp14:editId="2290E7AE">
            <wp:extent cx="4460875" cy="2369185"/>
            <wp:effectExtent l="0" t="0" r="0" b="0"/>
            <wp:docPr id="19" name="图片 19" descr="https://gmcworld.org/files/uploads/marke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mcworld.org/files/uploads/market_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0875" cy="2369185"/>
                    </a:xfrm>
                    <a:prstGeom prst="rect">
                      <a:avLst/>
                    </a:prstGeom>
                    <a:noFill/>
                    <a:ln>
                      <a:noFill/>
                    </a:ln>
                  </pic:spPr>
                </pic:pic>
              </a:graphicData>
            </a:graphic>
          </wp:inline>
        </w:drawing>
      </w:r>
    </w:p>
    <w:p w:rsidR="007E333C" w:rsidRPr="007E333C" w:rsidRDefault="006F511F" w:rsidP="007E333C">
      <w:pPr>
        <w:widowControl/>
        <w:shd w:val="clear" w:color="auto" w:fill="FFFFFF"/>
        <w:spacing w:after="150"/>
        <w:jc w:val="left"/>
        <w:rPr>
          <w:rFonts w:ascii="Helvetica" w:eastAsia="宋体" w:hAnsi="Helvetica" w:cs="Helvetica" w:hint="eastAsia"/>
          <w:color w:val="444444"/>
          <w:kern w:val="0"/>
          <w:sz w:val="20"/>
          <w:szCs w:val="20"/>
        </w:rPr>
      </w:pPr>
      <w:r w:rsidRPr="00B31F72">
        <w:rPr>
          <w:rFonts w:ascii="Helvetica" w:eastAsia="宋体" w:hAnsi="Helvetica" w:cs="Helvetica"/>
          <w:color w:val="444444"/>
          <w:kern w:val="0"/>
          <w:sz w:val="20"/>
          <w:szCs w:val="20"/>
        </w:rPr>
        <w:t> </w:t>
      </w:r>
      <w:r w:rsidR="007E333C" w:rsidRPr="007E333C">
        <w:rPr>
          <w:rFonts w:ascii="Helvetica" w:eastAsia="宋体" w:hAnsi="Helvetica" w:cs="Helvetica" w:hint="eastAsia"/>
          <w:color w:val="444444"/>
          <w:kern w:val="0"/>
          <w:sz w:val="20"/>
          <w:szCs w:val="20"/>
        </w:rPr>
        <w:t>趋势线跨越轴</w:t>
      </w:r>
      <w:r w:rsidR="007E333C" w:rsidRPr="007E333C">
        <w:rPr>
          <w:rFonts w:ascii="Helvetica" w:eastAsia="宋体" w:hAnsi="Helvetica" w:cs="Helvetica" w:hint="eastAsia"/>
          <w:color w:val="444444"/>
          <w:kern w:val="0"/>
          <w:sz w:val="20"/>
          <w:szCs w:val="20"/>
        </w:rPr>
        <w:t>OY</w:t>
      </w:r>
      <w:r w:rsidR="007E333C" w:rsidRPr="007E333C">
        <w:rPr>
          <w:rFonts w:ascii="Helvetica" w:eastAsia="宋体" w:hAnsi="Helvetica" w:cs="Helvetica" w:hint="eastAsia"/>
          <w:color w:val="444444"/>
          <w:kern w:val="0"/>
          <w:sz w:val="20"/>
          <w:szCs w:val="20"/>
        </w:rPr>
        <w:t>为</w:t>
      </w:r>
      <w:r w:rsidR="007E333C" w:rsidRPr="007E333C">
        <w:rPr>
          <w:rFonts w:ascii="Helvetica" w:eastAsia="宋体" w:hAnsi="Helvetica" w:cs="Helvetica" w:hint="eastAsia"/>
          <w:color w:val="444444"/>
          <w:kern w:val="0"/>
          <w:sz w:val="20"/>
          <w:szCs w:val="20"/>
        </w:rPr>
        <w:t>100.</w:t>
      </w:r>
      <w:r w:rsidR="007E333C" w:rsidRPr="007E333C">
        <w:rPr>
          <w:rFonts w:ascii="Helvetica" w:eastAsia="宋体" w:hAnsi="Helvetica" w:cs="Helvetica" w:hint="eastAsia"/>
          <w:color w:val="444444"/>
          <w:kern w:val="0"/>
          <w:sz w:val="20"/>
          <w:szCs w:val="20"/>
        </w:rPr>
        <w:t>这意味着当趋势达到</w:t>
      </w:r>
      <w:r w:rsidR="007E333C" w:rsidRPr="007E333C">
        <w:rPr>
          <w:rFonts w:ascii="Helvetica" w:eastAsia="宋体" w:hAnsi="Helvetica" w:cs="Helvetica" w:hint="eastAsia"/>
          <w:color w:val="444444"/>
          <w:kern w:val="0"/>
          <w:sz w:val="20"/>
          <w:szCs w:val="20"/>
        </w:rPr>
        <w:t>100</w:t>
      </w:r>
      <w:r w:rsidR="007E333C" w:rsidRPr="007E333C">
        <w:rPr>
          <w:rFonts w:ascii="Helvetica" w:eastAsia="宋体" w:hAnsi="Helvetica" w:cs="Helvetica" w:hint="eastAsia"/>
          <w:color w:val="444444"/>
          <w:kern w:val="0"/>
          <w:sz w:val="20"/>
          <w:szCs w:val="20"/>
        </w:rPr>
        <w:t>％的市场负荷时，弹性下降到</w:t>
      </w:r>
      <w:r w:rsidR="007E333C" w:rsidRPr="007E333C">
        <w:rPr>
          <w:rFonts w:ascii="Helvetica" w:eastAsia="宋体" w:hAnsi="Helvetica" w:cs="Helvetica" w:hint="eastAsia"/>
          <w:color w:val="444444"/>
          <w:kern w:val="0"/>
          <w:sz w:val="20"/>
          <w:szCs w:val="20"/>
        </w:rPr>
        <w:t>0.</w:t>
      </w:r>
      <w:r w:rsidR="007E333C" w:rsidRPr="007E333C">
        <w:rPr>
          <w:rFonts w:ascii="Helvetica" w:eastAsia="宋体" w:hAnsi="Helvetica" w:cs="Helvetica" w:hint="eastAsia"/>
          <w:color w:val="444444"/>
          <w:kern w:val="0"/>
          <w:sz w:val="20"/>
          <w:szCs w:val="20"/>
        </w:rPr>
        <w:t>所以超过</w:t>
      </w:r>
      <w:r w:rsidR="007E333C" w:rsidRPr="007E333C">
        <w:rPr>
          <w:rFonts w:ascii="Helvetica" w:eastAsia="宋体" w:hAnsi="Helvetica" w:cs="Helvetica" w:hint="eastAsia"/>
          <w:color w:val="444444"/>
          <w:kern w:val="0"/>
          <w:sz w:val="20"/>
          <w:szCs w:val="20"/>
        </w:rPr>
        <w:t>100</w:t>
      </w:r>
      <w:r w:rsidR="007E333C" w:rsidRPr="007E333C">
        <w:rPr>
          <w:rFonts w:ascii="Helvetica" w:eastAsia="宋体" w:hAnsi="Helvetica" w:cs="Helvetica" w:hint="eastAsia"/>
          <w:color w:val="444444"/>
          <w:kern w:val="0"/>
          <w:sz w:val="20"/>
          <w:szCs w:val="20"/>
        </w:rPr>
        <w:t>％是不可能的，它是限制</w:t>
      </w:r>
      <w:r w:rsidR="007E333C" w:rsidRPr="007E333C">
        <w:rPr>
          <w:rFonts w:ascii="Helvetica" w:eastAsia="宋体" w:hAnsi="Helvetica" w:cs="Helvetica" w:hint="eastAsia"/>
          <w:color w:val="444444"/>
          <w:kern w:val="0"/>
          <w:sz w:val="20"/>
          <w:szCs w:val="20"/>
        </w:rPr>
        <w:t>GMC</w:t>
      </w:r>
      <w:r w:rsidR="007E333C" w:rsidRPr="007E333C">
        <w:rPr>
          <w:rFonts w:ascii="Helvetica" w:eastAsia="宋体" w:hAnsi="Helvetica" w:cs="Helvetica" w:hint="eastAsia"/>
          <w:color w:val="444444"/>
          <w:kern w:val="0"/>
          <w:sz w:val="20"/>
          <w:szCs w:val="20"/>
        </w:rPr>
        <w:t>模拟器市场扩张的自然机制。</w:t>
      </w:r>
    </w:p>
    <w:p w:rsidR="007E333C" w:rsidRPr="00B31F72" w:rsidRDefault="007E333C" w:rsidP="007E333C">
      <w:pPr>
        <w:widowControl/>
        <w:shd w:val="clear" w:color="auto" w:fill="FFFFFF"/>
        <w:spacing w:after="150"/>
        <w:jc w:val="left"/>
        <w:rPr>
          <w:rFonts w:ascii="Helvetica" w:eastAsia="宋体" w:hAnsi="Helvetica" w:cs="Helvetica"/>
          <w:color w:val="444444"/>
          <w:kern w:val="0"/>
          <w:sz w:val="20"/>
          <w:szCs w:val="20"/>
        </w:rPr>
      </w:pPr>
      <w:r w:rsidRPr="007E333C">
        <w:rPr>
          <w:rFonts w:ascii="Helvetica" w:eastAsia="宋体" w:hAnsi="Helvetica" w:cs="Helvetica" w:hint="eastAsia"/>
          <w:color w:val="444444"/>
          <w:kern w:val="0"/>
          <w:sz w:val="20"/>
          <w:szCs w:val="20"/>
        </w:rPr>
        <w:lastRenderedPageBreak/>
        <w:t>计算每个市场的价格弹性</w:t>
      </w:r>
      <w:proofErr w:type="gramStart"/>
      <w:r w:rsidRPr="007E333C">
        <w:rPr>
          <w:rFonts w:ascii="Helvetica" w:eastAsia="宋体" w:hAnsi="Helvetica" w:cs="Helvetica" w:hint="eastAsia"/>
          <w:color w:val="444444"/>
          <w:kern w:val="0"/>
          <w:sz w:val="20"/>
          <w:szCs w:val="20"/>
        </w:rPr>
        <w:t>弹性</w:t>
      </w:r>
      <w:proofErr w:type="gramEnd"/>
      <w:r w:rsidRPr="007E333C">
        <w:rPr>
          <w:rFonts w:ascii="Helvetica" w:eastAsia="宋体" w:hAnsi="Helvetica" w:cs="Helvetica" w:hint="eastAsia"/>
          <w:color w:val="444444"/>
          <w:kern w:val="0"/>
          <w:sz w:val="20"/>
          <w:szCs w:val="20"/>
        </w:rPr>
        <w:t>。</w:t>
      </w:r>
      <w:r w:rsidRPr="007E333C">
        <w:rPr>
          <w:rFonts w:ascii="Helvetica" w:eastAsia="宋体" w:hAnsi="Helvetica" w:cs="Helvetica" w:hint="eastAsia"/>
          <w:color w:val="444444"/>
          <w:kern w:val="0"/>
          <w:sz w:val="20"/>
          <w:szCs w:val="20"/>
        </w:rPr>
        <w:t xml:space="preserve"> </w:t>
      </w:r>
      <w:r w:rsidRPr="007E333C">
        <w:rPr>
          <w:rFonts w:ascii="Helvetica" w:eastAsia="宋体" w:hAnsi="Helvetica" w:cs="Helvetica" w:hint="eastAsia"/>
          <w:color w:val="444444"/>
          <w:kern w:val="0"/>
          <w:sz w:val="20"/>
          <w:szCs w:val="20"/>
        </w:rPr>
        <w:t>对于欧盟和</w:t>
      </w:r>
      <w:proofErr w:type="spellStart"/>
      <w:r w:rsidRPr="007E333C">
        <w:rPr>
          <w:rFonts w:ascii="Helvetica" w:eastAsia="宋体" w:hAnsi="Helvetica" w:cs="Helvetica" w:hint="eastAsia"/>
          <w:color w:val="444444"/>
          <w:kern w:val="0"/>
          <w:sz w:val="20"/>
          <w:szCs w:val="20"/>
        </w:rPr>
        <w:t>Nafta</w:t>
      </w:r>
      <w:proofErr w:type="spellEnd"/>
      <w:r w:rsidRPr="007E333C">
        <w:rPr>
          <w:rFonts w:ascii="Helvetica" w:eastAsia="宋体" w:hAnsi="Helvetica" w:cs="Helvetica" w:hint="eastAsia"/>
          <w:color w:val="444444"/>
          <w:kern w:val="0"/>
          <w:sz w:val="20"/>
          <w:szCs w:val="20"/>
        </w:rPr>
        <w:t>，我删除了</w:t>
      </w:r>
      <w:r w:rsidRPr="007E333C">
        <w:rPr>
          <w:rFonts w:ascii="Helvetica" w:eastAsia="宋体" w:hAnsi="Helvetica" w:cs="Helvetica" w:hint="eastAsia"/>
          <w:color w:val="444444"/>
          <w:kern w:val="0"/>
          <w:sz w:val="20"/>
          <w:szCs w:val="20"/>
        </w:rPr>
        <w:t>2</w:t>
      </w:r>
      <w:r w:rsidRPr="007E333C">
        <w:rPr>
          <w:rFonts w:ascii="Helvetica" w:eastAsia="宋体" w:hAnsi="Helvetica" w:cs="Helvetica" w:hint="eastAsia"/>
          <w:color w:val="444444"/>
          <w:kern w:val="0"/>
          <w:sz w:val="20"/>
          <w:szCs w:val="20"/>
        </w:rPr>
        <w:t>个点，在市场负担估计上出现了很大的误差。</w:t>
      </w:r>
      <w:r w:rsidRPr="007E333C">
        <w:rPr>
          <w:rFonts w:ascii="Helvetica" w:eastAsia="宋体" w:hAnsi="Helvetica" w:cs="Helvetica" w:hint="eastAsia"/>
          <w:color w:val="444444"/>
          <w:kern w:val="0"/>
          <w:sz w:val="20"/>
          <w:szCs w:val="20"/>
        </w:rPr>
        <w:t xml:space="preserve"> </w:t>
      </w:r>
      <w:r w:rsidRPr="007E333C">
        <w:rPr>
          <w:rFonts w:ascii="Helvetica" w:eastAsia="宋体" w:hAnsi="Helvetica" w:cs="Helvetica" w:hint="eastAsia"/>
          <w:color w:val="444444"/>
          <w:kern w:val="0"/>
          <w:sz w:val="20"/>
          <w:szCs w:val="20"/>
        </w:rPr>
        <w:t>在轴上添加控制点</w:t>
      </w:r>
      <w:r w:rsidRPr="007E333C">
        <w:rPr>
          <w:rFonts w:ascii="Helvetica" w:eastAsia="宋体" w:hAnsi="Helvetica" w:cs="Helvetica" w:hint="eastAsia"/>
          <w:color w:val="444444"/>
          <w:kern w:val="0"/>
          <w:sz w:val="20"/>
          <w:szCs w:val="20"/>
        </w:rPr>
        <w:t>OY - 0</w:t>
      </w:r>
      <w:r w:rsidRPr="007E333C">
        <w:rPr>
          <w:rFonts w:ascii="Helvetica" w:eastAsia="宋体" w:hAnsi="Helvetica" w:cs="Helvetica" w:hint="eastAsia"/>
          <w:color w:val="444444"/>
          <w:kern w:val="0"/>
          <w:sz w:val="20"/>
          <w:szCs w:val="20"/>
        </w:rPr>
        <w:t>弹性，市场负荷</w:t>
      </w:r>
      <w:r w:rsidRPr="007E333C">
        <w:rPr>
          <w:rFonts w:ascii="Helvetica" w:eastAsia="宋体" w:hAnsi="Helvetica" w:cs="Helvetica" w:hint="eastAsia"/>
          <w:color w:val="444444"/>
          <w:kern w:val="0"/>
          <w:sz w:val="20"/>
          <w:szCs w:val="20"/>
        </w:rPr>
        <w:t>100</w:t>
      </w:r>
      <w:r w:rsidRPr="007E333C">
        <w:rPr>
          <w:rFonts w:ascii="Helvetica" w:eastAsia="宋体" w:hAnsi="Helvetica" w:cs="Helvetica" w:hint="eastAsia"/>
          <w:color w:val="444444"/>
          <w:kern w:val="0"/>
          <w:sz w:val="20"/>
          <w:szCs w:val="20"/>
        </w:rPr>
        <w:t>。</w:t>
      </w:r>
    </w:p>
    <w:p w:rsidR="006F511F" w:rsidRPr="00B31F72" w:rsidRDefault="006F511F" w:rsidP="007E333C">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Pr>
          <w:rFonts w:ascii="Helvetica" w:eastAsia="宋体" w:hAnsi="Helvetica" w:cs="Helvetica" w:hint="eastAsia"/>
          <w:b/>
          <w:bCs/>
          <w:color w:val="444444"/>
          <w:kern w:val="0"/>
          <w:sz w:val="20"/>
          <w:szCs w:val="20"/>
          <w:bdr w:val="none" w:sz="0" w:space="0" w:color="auto" w:frame="1"/>
        </w:rPr>
        <w:t>国内</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2C14B4C3" wp14:editId="3167594F">
            <wp:extent cx="4452620" cy="2377440"/>
            <wp:effectExtent l="0" t="0" r="5080" b="3810"/>
            <wp:docPr id="20" name="图片 20" descr="https://gmcworld.org/files/uploads/marke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mcworld.org/files/uploads/market_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2620" cy="2377440"/>
                    </a:xfrm>
                    <a:prstGeom prst="rect">
                      <a:avLst/>
                    </a:prstGeom>
                    <a:noFill/>
                    <a:ln>
                      <a:noFill/>
                    </a:ln>
                  </pic:spPr>
                </pic:pic>
              </a:graphicData>
            </a:graphic>
          </wp:inline>
        </w:drawing>
      </w:r>
    </w:p>
    <w:p w:rsidR="006F511F" w:rsidRPr="00B31F72" w:rsidRDefault="006F511F" w:rsidP="007E333C">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Pr>
          <w:rFonts w:ascii="Helvetica" w:eastAsia="宋体" w:hAnsi="Helvetica" w:cs="Helvetica" w:hint="eastAsia"/>
          <w:b/>
          <w:bCs/>
          <w:color w:val="444444"/>
          <w:kern w:val="0"/>
          <w:sz w:val="20"/>
          <w:szCs w:val="20"/>
          <w:bdr w:val="none" w:sz="0" w:space="0" w:color="auto" w:frame="1"/>
        </w:rPr>
        <w:t>北美</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64D9F594" wp14:editId="18AF0C5B">
            <wp:extent cx="4460875" cy="2353310"/>
            <wp:effectExtent l="0" t="0" r="0" b="8890"/>
            <wp:docPr id="21" name="图片 21" descr="https://gmcworld.org/files/uploads/marke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mcworld.org/files/uploads/market_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0875" cy="2353310"/>
                    </a:xfrm>
                    <a:prstGeom prst="rect">
                      <a:avLst/>
                    </a:prstGeom>
                    <a:noFill/>
                    <a:ln>
                      <a:noFill/>
                    </a:ln>
                  </pic:spPr>
                </pic:pic>
              </a:graphicData>
            </a:graphic>
          </wp:inline>
        </w:drawing>
      </w:r>
    </w:p>
    <w:p w:rsidR="006F511F" w:rsidRPr="00B31F72" w:rsidRDefault="006F511F" w:rsidP="007E333C">
      <w:pPr>
        <w:widowControl/>
        <w:shd w:val="clear" w:color="auto" w:fill="FFFFFF"/>
        <w:spacing w:after="150"/>
        <w:jc w:val="left"/>
        <w:rPr>
          <w:rFonts w:ascii="Helvetica" w:eastAsia="宋体" w:hAnsi="Helvetica" w:cs="Helvetica"/>
          <w:color w:val="444444"/>
          <w:kern w:val="0"/>
          <w:sz w:val="20"/>
          <w:szCs w:val="20"/>
        </w:rPr>
      </w:pPr>
      <w:r w:rsidRPr="00B31F72">
        <w:rPr>
          <w:rFonts w:ascii="Helvetica" w:eastAsia="宋体" w:hAnsi="Helvetica" w:cs="Helvetica"/>
          <w:color w:val="444444"/>
          <w:kern w:val="0"/>
          <w:sz w:val="20"/>
          <w:szCs w:val="20"/>
        </w:rPr>
        <w:t> </w:t>
      </w:r>
      <w:r w:rsidR="007E333C">
        <w:rPr>
          <w:rFonts w:ascii="Helvetica" w:eastAsia="宋体" w:hAnsi="Helvetica" w:cs="Helvetica" w:hint="eastAsia"/>
          <w:b/>
          <w:bCs/>
          <w:color w:val="444444"/>
          <w:kern w:val="0"/>
          <w:sz w:val="20"/>
          <w:szCs w:val="20"/>
          <w:bdr w:val="none" w:sz="0" w:space="0" w:color="auto" w:frame="1"/>
        </w:rPr>
        <w:t>互联网</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0E79AD84" wp14:editId="6D026C1B">
            <wp:extent cx="4102139" cy="2178658"/>
            <wp:effectExtent l="0" t="0" r="0" b="0"/>
            <wp:docPr id="22" name="图片 22" descr="https://gmcworld.org/files/uploads/marke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mcworld.org/files/uploads/market_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2317" cy="2178753"/>
                    </a:xfrm>
                    <a:prstGeom prst="rect">
                      <a:avLst/>
                    </a:prstGeom>
                    <a:noFill/>
                    <a:ln>
                      <a:noFill/>
                    </a:ln>
                  </pic:spPr>
                </pic:pic>
              </a:graphicData>
            </a:graphic>
          </wp:inline>
        </w:drawing>
      </w:r>
    </w:p>
    <w:p w:rsidR="007E333C" w:rsidRDefault="007E333C" w:rsidP="006F511F">
      <w:pPr>
        <w:widowControl/>
        <w:shd w:val="clear" w:color="auto" w:fill="FFFFFF"/>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lastRenderedPageBreak/>
        <w:t>北美和互联网市场的价格弹性</w:t>
      </w:r>
      <w:r w:rsidRPr="007E333C">
        <w:rPr>
          <w:rFonts w:ascii="Helvetica" w:eastAsia="宋体" w:hAnsi="Helvetica" w:cs="Helvetica" w:hint="eastAsia"/>
          <w:color w:val="444444"/>
          <w:kern w:val="0"/>
          <w:sz w:val="20"/>
          <w:szCs w:val="20"/>
        </w:rPr>
        <w:t>大致相同为</w:t>
      </w:r>
      <w:r w:rsidRPr="007E333C">
        <w:rPr>
          <w:rFonts w:ascii="Helvetica" w:eastAsia="宋体" w:hAnsi="Helvetica" w:cs="Helvetica" w:hint="eastAsia"/>
          <w:color w:val="444444"/>
          <w:kern w:val="0"/>
          <w:sz w:val="20"/>
          <w:szCs w:val="20"/>
        </w:rPr>
        <w:t>11.77</w:t>
      </w:r>
      <w:r w:rsidRPr="007E333C">
        <w:rPr>
          <w:rFonts w:ascii="Helvetica" w:eastAsia="宋体" w:hAnsi="Helvetica" w:cs="Helvetica" w:hint="eastAsia"/>
          <w:color w:val="444444"/>
          <w:kern w:val="0"/>
          <w:sz w:val="20"/>
          <w:szCs w:val="20"/>
        </w:rPr>
        <w:t>和</w:t>
      </w:r>
      <w:r w:rsidRPr="007E333C">
        <w:rPr>
          <w:rFonts w:ascii="Helvetica" w:eastAsia="宋体" w:hAnsi="Helvetica" w:cs="Helvetica" w:hint="eastAsia"/>
          <w:color w:val="444444"/>
          <w:kern w:val="0"/>
          <w:sz w:val="20"/>
          <w:szCs w:val="20"/>
        </w:rPr>
        <w:t>10.28</w:t>
      </w:r>
      <w:r>
        <w:rPr>
          <w:rFonts w:ascii="Helvetica" w:eastAsia="宋体" w:hAnsi="Helvetica" w:cs="Helvetica" w:hint="eastAsia"/>
          <w:color w:val="444444"/>
          <w:kern w:val="0"/>
          <w:sz w:val="20"/>
          <w:szCs w:val="20"/>
        </w:rPr>
        <w:t>。而国内</w:t>
      </w:r>
      <w:r w:rsidRPr="007E333C">
        <w:rPr>
          <w:rFonts w:ascii="Helvetica" w:eastAsia="宋体" w:hAnsi="Helvetica" w:cs="Helvetica" w:hint="eastAsia"/>
          <w:color w:val="444444"/>
          <w:kern w:val="0"/>
          <w:sz w:val="20"/>
          <w:szCs w:val="20"/>
        </w:rPr>
        <w:t>市场的弹性</w:t>
      </w:r>
      <w:r>
        <w:rPr>
          <w:rFonts w:ascii="Helvetica" w:eastAsia="宋体" w:hAnsi="Helvetica" w:cs="Helvetica" w:hint="eastAsia"/>
          <w:color w:val="444444"/>
          <w:kern w:val="0"/>
          <w:sz w:val="20"/>
          <w:szCs w:val="20"/>
        </w:rPr>
        <w:t>是更高的</w:t>
      </w:r>
      <w:r w:rsidRPr="007E333C">
        <w:rPr>
          <w:rFonts w:ascii="Helvetica" w:eastAsia="宋体" w:hAnsi="Helvetica" w:cs="Helvetica" w:hint="eastAsia"/>
          <w:color w:val="444444"/>
          <w:kern w:val="0"/>
          <w:sz w:val="20"/>
          <w:szCs w:val="20"/>
        </w:rPr>
        <w:t>14.73</w:t>
      </w:r>
      <w:r w:rsidRPr="007E333C">
        <w:rPr>
          <w:rFonts w:ascii="Helvetica" w:eastAsia="宋体" w:hAnsi="Helvetica" w:cs="Helvetica" w:hint="eastAsia"/>
          <w:color w:val="444444"/>
          <w:kern w:val="0"/>
          <w:sz w:val="20"/>
          <w:szCs w:val="20"/>
        </w:rPr>
        <w:t>。</w:t>
      </w:r>
    </w:p>
    <w:p w:rsidR="006F511F" w:rsidRPr="00B31F72" w:rsidRDefault="006F511F" w:rsidP="006F511F">
      <w:pPr>
        <w:widowControl/>
        <w:shd w:val="clear" w:color="auto" w:fill="FFFFFF"/>
        <w:spacing w:after="150"/>
        <w:jc w:val="left"/>
        <w:rPr>
          <w:rFonts w:ascii="Helvetica" w:eastAsia="宋体" w:hAnsi="Helvetica" w:cs="Helvetica"/>
          <w:color w:val="444444"/>
          <w:kern w:val="0"/>
          <w:sz w:val="20"/>
          <w:szCs w:val="20"/>
        </w:rPr>
      </w:pPr>
      <w:bookmarkStart w:id="0" w:name="_GoBack"/>
      <w:bookmarkEnd w:id="0"/>
    </w:p>
    <w:p w:rsidR="006F511F" w:rsidRPr="00B31F72" w:rsidRDefault="007E333C" w:rsidP="006F511F">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提示</w:t>
      </w:r>
    </w:p>
    <w:p w:rsidR="006F511F" w:rsidRPr="006F511F" w:rsidRDefault="006F511F" w:rsidP="006F511F">
      <w:pPr>
        <w:widowControl/>
        <w:spacing w:after="150"/>
        <w:jc w:val="left"/>
        <w:rPr>
          <w:b/>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7E333C" w:rsidRPr="007E333C">
        <w:rPr>
          <w:rFonts w:ascii="Helvetica" w:eastAsia="宋体" w:hAnsi="Helvetica" w:cs="Helvetica" w:hint="eastAsia"/>
          <w:color w:val="444444"/>
          <w:kern w:val="0"/>
          <w:sz w:val="20"/>
          <w:szCs w:val="20"/>
        </w:rPr>
        <w:t>需求因素的弹性与市场负荷成正比。</w:t>
      </w:r>
    </w:p>
    <w:sectPr w:rsidR="006F511F" w:rsidRPr="006F51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40D" w:rsidRDefault="0007540D" w:rsidP="00B31F72">
      <w:r>
        <w:separator/>
      </w:r>
    </w:p>
  </w:endnote>
  <w:endnote w:type="continuationSeparator" w:id="0">
    <w:p w:rsidR="0007540D" w:rsidRDefault="0007540D" w:rsidP="00B31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40D" w:rsidRDefault="0007540D" w:rsidP="00B31F72">
      <w:r>
        <w:separator/>
      </w:r>
    </w:p>
  </w:footnote>
  <w:footnote w:type="continuationSeparator" w:id="0">
    <w:p w:rsidR="0007540D" w:rsidRDefault="0007540D" w:rsidP="00B31F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B5889"/>
    <w:multiLevelType w:val="multilevel"/>
    <w:tmpl w:val="6B70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F24"/>
    <w:rsid w:val="00024FF3"/>
    <w:rsid w:val="0003098C"/>
    <w:rsid w:val="000309EE"/>
    <w:rsid w:val="0004219A"/>
    <w:rsid w:val="00042BF1"/>
    <w:rsid w:val="00054309"/>
    <w:rsid w:val="0007540D"/>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0CC"/>
    <w:rsid w:val="002E5A29"/>
    <w:rsid w:val="00307F7E"/>
    <w:rsid w:val="00332BEE"/>
    <w:rsid w:val="00360DBE"/>
    <w:rsid w:val="00365B62"/>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1DE4"/>
    <w:rsid w:val="004C32DB"/>
    <w:rsid w:val="004D3A94"/>
    <w:rsid w:val="004E416E"/>
    <w:rsid w:val="004F005E"/>
    <w:rsid w:val="004F0D4C"/>
    <w:rsid w:val="004F28DE"/>
    <w:rsid w:val="00517CDA"/>
    <w:rsid w:val="00545A66"/>
    <w:rsid w:val="00551C8D"/>
    <w:rsid w:val="00553404"/>
    <w:rsid w:val="005774A2"/>
    <w:rsid w:val="0058229A"/>
    <w:rsid w:val="00590BEF"/>
    <w:rsid w:val="005944F1"/>
    <w:rsid w:val="005B3ED0"/>
    <w:rsid w:val="005C1682"/>
    <w:rsid w:val="005C4ECE"/>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D41DE"/>
    <w:rsid w:val="006F37C3"/>
    <w:rsid w:val="006F511F"/>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B0038"/>
    <w:rsid w:val="007B22C1"/>
    <w:rsid w:val="007C4926"/>
    <w:rsid w:val="007D36E5"/>
    <w:rsid w:val="007D790A"/>
    <w:rsid w:val="007E333C"/>
    <w:rsid w:val="00805DBB"/>
    <w:rsid w:val="008349F9"/>
    <w:rsid w:val="008377CB"/>
    <w:rsid w:val="0086145B"/>
    <w:rsid w:val="00861BBB"/>
    <w:rsid w:val="008622EE"/>
    <w:rsid w:val="0087050E"/>
    <w:rsid w:val="00874A5A"/>
    <w:rsid w:val="00884876"/>
    <w:rsid w:val="00885D89"/>
    <w:rsid w:val="008879D5"/>
    <w:rsid w:val="008F443B"/>
    <w:rsid w:val="00912CED"/>
    <w:rsid w:val="0092725D"/>
    <w:rsid w:val="0093794B"/>
    <w:rsid w:val="00951888"/>
    <w:rsid w:val="00955419"/>
    <w:rsid w:val="00957B6E"/>
    <w:rsid w:val="009661C0"/>
    <w:rsid w:val="00980E29"/>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1F24"/>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31F72"/>
    <w:rsid w:val="00B43D2E"/>
    <w:rsid w:val="00B449FF"/>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1F7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1F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1F72"/>
    <w:rPr>
      <w:sz w:val="18"/>
      <w:szCs w:val="18"/>
    </w:rPr>
  </w:style>
  <w:style w:type="paragraph" w:styleId="a4">
    <w:name w:val="footer"/>
    <w:basedOn w:val="a"/>
    <w:link w:val="Char0"/>
    <w:uiPriority w:val="99"/>
    <w:unhideWhenUsed/>
    <w:rsid w:val="00B31F72"/>
    <w:pPr>
      <w:tabs>
        <w:tab w:val="center" w:pos="4153"/>
        <w:tab w:val="right" w:pos="8306"/>
      </w:tabs>
      <w:snapToGrid w:val="0"/>
      <w:jc w:val="left"/>
    </w:pPr>
    <w:rPr>
      <w:sz w:val="18"/>
      <w:szCs w:val="18"/>
    </w:rPr>
  </w:style>
  <w:style w:type="character" w:customStyle="1" w:styleId="Char0">
    <w:name w:val="页脚 Char"/>
    <w:basedOn w:val="a0"/>
    <w:link w:val="a4"/>
    <w:uiPriority w:val="99"/>
    <w:rsid w:val="00B31F72"/>
    <w:rPr>
      <w:sz w:val="18"/>
      <w:szCs w:val="18"/>
    </w:rPr>
  </w:style>
  <w:style w:type="character" w:customStyle="1" w:styleId="1Char">
    <w:name w:val="标题 1 Char"/>
    <w:basedOn w:val="a0"/>
    <w:link w:val="1"/>
    <w:uiPriority w:val="9"/>
    <w:rsid w:val="00B31F72"/>
    <w:rPr>
      <w:rFonts w:ascii="宋体" w:eastAsia="宋体" w:hAnsi="宋体" w:cs="宋体"/>
      <w:b/>
      <w:bCs/>
      <w:kern w:val="36"/>
      <w:sz w:val="48"/>
      <w:szCs w:val="48"/>
    </w:rPr>
  </w:style>
  <w:style w:type="paragraph" w:styleId="a5">
    <w:name w:val="Normal (Web)"/>
    <w:basedOn w:val="a"/>
    <w:uiPriority w:val="99"/>
    <w:semiHidden/>
    <w:unhideWhenUsed/>
    <w:rsid w:val="00B31F7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31F72"/>
    <w:rPr>
      <w:color w:val="0000FF"/>
      <w:u w:val="single"/>
    </w:rPr>
  </w:style>
  <w:style w:type="character" w:styleId="a7">
    <w:name w:val="Strong"/>
    <w:basedOn w:val="a0"/>
    <w:uiPriority w:val="22"/>
    <w:qFormat/>
    <w:rsid w:val="00B31F72"/>
    <w:rPr>
      <w:b/>
      <w:bCs/>
    </w:rPr>
  </w:style>
  <w:style w:type="paragraph" w:styleId="a8">
    <w:name w:val="Balloon Text"/>
    <w:basedOn w:val="a"/>
    <w:link w:val="Char1"/>
    <w:uiPriority w:val="99"/>
    <w:semiHidden/>
    <w:unhideWhenUsed/>
    <w:rsid w:val="00B31F72"/>
    <w:rPr>
      <w:sz w:val="18"/>
      <w:szCs w:val="18"/>
    </w:rPr>
  </w:style>
  <w:style w:type="character" w:customStyle="1" w:styleId="Char1">
    <w:name w:val="批注框文本 Char"/>
    <w:basedOn w:val="a0"/>
    <w:link w:val="a8"/>
    <w:uiPriority w:val="99"/>
    <w:semiHidden/>
    <w:rsid w:val="00B31F72"/>
    <w:rPr>
      <w:sz w:val="18"/>
      <w:szCs w:val="18"/>
    </w:rPr>
  </w:style>
  <w:style w:type="paragraph" w:styleId="a9">
    <w:name w:val="List Paragraph"/>
    <w:basedOn w:val="a"/>
    <w:uiPriority w:val="34"/>
    <w:qFormat/>
    <w:rsid w:val="006F511F"/>
    <w:pPr>
      <w:ind w:firstLineChars="200" w:firstLine="420"/>
    </w:pPr>
  </w:style>
  <w:style w:type="table" w:styleId="aa">
    <w:name w:val="Table Grid"/>
    <w:basedOn w:val="a1"/>
    <w:uiPriority w:val="59"/>
    <w:rsid w:val="004C1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31F7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1F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1F72"/>
    <w:rPr>
      <w:sz w:val="18"/>
      <w:szCs w:val="18"/>
    </w:rPr>
  </w:style>
  <w:style w:type="paragraph" w:styleId="a4">
    <w:name w:val="footer"/>
    <w:basedOn w:val="a"/>
    <w:link w:val="Char0"/>
    <w:uiPriority w:val="99"/>
    <w:unhideWhenUsed/>
    <w:rsid w:val="00B31F72"/>
    <w:pPr>
      <w:tabs>
        <w:tab w:val="center" w:pos="4153"/>
        <w:tab w:val="right" w:pos="8306"/>
      </w:tabs>
      <w:snapToGrid w:val="0"/>
      <w:jc w:val="left"/>
    </w:pPr>
    <w:rPr>
      <w:sz w:val="18"/>
      <w:szCs w:val="18"/>
    </w:rPr>
  </w:style>
  <w:style w:type="character" w:customStyle="1" w:styleId="Char0">
    <w:name w:val="页脚 Char"/>
    <w:basedOn w:val="a0"/>
    <w:link w:val="a4"/>
    <w:uiPriority w:val="99"/>
    <w:rsid w:val="00B31F72"/>
    <w:rPr>
      <w:sz w:val="18"/>
      <w:szCs w:val="18"/>
    </w:rPr>
  </w:style>
  <w:style w:type="character" w:customStyle="1" w:styleId="1Char">
    <w:name w:val="标题 1 Char"/>
    <w:basedOn w:val="a0"/>
    <w:link w:val="1"/>
    <w:uiPriority w:val="9"/>
    <w:rsid w:val="00B31F72"/>
    <w:rPr>
      <w:rFonts w:ascii="宋体" w:eastAsia="宋体" w:hAnsi="宋体" w:cs="宋体"/>
      <w:b/>
      <w:bCs/>
      <w:kern w:val="36"/>
      <w:sz w:val="48"/>
      <w:szCs w:val="48"/>
    </w:rPr>
  </w:style>
  <w:style w:type="paragraph" w:styleId="a5">
    <w:name w:val="Normal (Web)"/>
    <w:basedOn w:val="a"/>
    <w:uiPriority w:val="99"/>
    <w:semiHidden/>
    <w:unhideWhenUsed/>
    <w:rsid w:val="00B31F7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31F72"/>
    <w:rPr>
      <w:color w:val="0000FF"/>
      <w:u w:val="single"/>
    </w:rPr>
  </w:style>
  <w:style w:type="character" w:styleId="a7">
    <w:name w:val="Strong"/>
    <w:basedOn w:val="a0"/>
    <w:uiPriority w:val="22"/>
    <w:qFormat/>
    <w:rsid w:val="00B31F72"/>
    <w:rPr>
      <w:b/>
      <w:bCs/>
    </w:rPr>
  </w:style>
  <w:style w:type="paragraph" w:styleId="a8">
    <w:name w:val="Balloon Text"/>
    <w:basedOn w:val="a"/>
    <w:link w:val="Char1"/>
    <w:uiPriority w:val="99"/>
    <w:semiHidden/>
    <w:unhideWhenUsed/>
    <w:rsid w:val="00B31F72"/>
    <w:rPr>
      <w:sz w:val="18"/>
      <w:szCs w:val="18"/>
    </w:rPr>
  </w:style>
  <w:style w:type="character" w:customStyle="1" w:styleId="Char1">
    <w:name w:val="批注框文本 Char"/>
    <w:basedOn w:val="a0"/>
    <w:link w:val="a8"/>
    <w:uiPriority w:val="99"/>
    <w:semiHidden/>
    <w:rsid w:val="00B31F72"/>
    <w:rPr>
      <w:sz w:val="18"/>
      <w:szCs w:val="18"/>
    </w:rPr>
  </w:style>
  <w:style w:type="paragraph" w:styleId="a9">
    <w:name w:val="List Paragraph"/>
    <w:basedOn w:val="a"/>
    <w:uiPriority w:val="34"/>
    <w:qFormat/>
    <w:rsid w:val="006F511F"/>
    <w:pPr>
      <w:ind w:firstLineChars="200" w:firstLine="420"/>
    </w:pPr>
  </w:style>
  <w:style w:type="table" w:styleId="aa">
    <w:name w:val="Table Grid"/>
    <w:basedOn w:val="a1"/>
    <w:uiPriority w:val="59"/>
    <w:rsid w:val="004C1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12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mcworld.org/blog/how-to-test-factors"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2017-07-09T15:07:00Z</dcterms:created>
  <dcterms:modified xsi:type="dcterms:W3CDTF">2017-07-17T16:17:00Z</dcterms:modified>
</cp:coreProperties>
</file>