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Credit — Sheet1</w:t>
      </w:r>
    </w:p>
    <w:p>
      <w:pPr>
        <w:jc w:val="center"/>
      </w:pPr>
      <w:r>
        <w:rPr>
          <w:i/>
          <w:sz w:val="18"/>
        </w:rPr>
        <w:t>Converted from CSV • 72 entries</w:t>
      </w:r>
    </w:p>
    <w:tbl>
      <w:tblPr>
        <w:tblStyle w:val="TableGrid"/>
        <w:tblW w:type="auto" w:w="0"/>
        <w:jc w:val="center"/>
        <w:tblLook w:firstColumn="1" w:firstRow="1" w:lastColumn="0" w:lastRow="0" w:noHBand="0" w:noVBand="1" w:val="04A0"/>
      </w:tblPr>
      <w:tblGrid>
        <w:gridCol w:w="10800"/>
      </w:tblGrid>
      <w:tr>
        <w:trPr>
          <w:tblHeader w:val="true"/>
        </w:trPr>
        <w:tc>
          <w:tcPr>
            <w:tcW w:type="dxa" w:w="10800"/>
            <w:vAlign w:val="center"/>
          </w:tcPr>
          <w:p>
            <w:r>
              <w:rPr>
                <w:b/>
                <w:sz w:val="16"/>
              </w:rPr>
              <w:t>Viewed CORPUS_COMPLEXITY_AND_CREDIT_ESTIMATE.md:1-72</w:t>
            </w:r>
          </w:p>
        </w:tc>
      </w:tr>
      <w:tr>
        <w:tc>
          <w:tcPr>
            <w:tcW w:type="dxa" w:w="10800"/>
            <w:vAlign w:val="top"/>
          </w:tcPr>
          <w:p>
            <w:r>
              <w:rPr>
                <w:sz w:val="15"/>
              </w:rPr>
              <w:t>Viewed LLAMAPARSE_SOURCE_AUDIT.md:1-150</w:t>
            </w:r>
          </w:p>
        </w:tc>
      </w:tr>
      <w:tr>
        <w:tc>
          <w:tcPr>
            <w:tcW w:type="dxa" w:w="10800"/>
            <w:vAlign w:val="top"/>
          </w:tcPr>
          <w:p>
            <w:r>
              <w:rPr>
                <w:sz w:val="15"/>
              </w:rPr>
              <w:t>Viewed LLAMAPARSE_SOURCE_AUDIT.md:30-85</w:t>
            </w:r>
          </w:p>
        </w:tc>
      </w:tr>
      <w:tr>
        <w:tc>
          <w:tcPr>
            <w:tcW w:type="dxa" w:w="10800"/>
            <w:vAlign w:val="top"/>
          </w:tcPr>
          <w:p>
            <w:r>
              <w:rPr>
                <w:sz w:val="15"/>
              </w:rPr>
              <w:t>Edited LLAMAPARSE_SOURCE_AUDIT.md</w:t>
            </w:r>
          </w:p>
        </w:tc>
      </w:tr>
      <w:tr>
        <w:tc>
          <w:tcPr>
            <w:tcW w:type="dxa" w:w="10800"/>
            <w:vAlign w:val="top"/>
          </w:tcPr>
          <w:p>
            <w:r>
              <w:rPr>
                <w:sz w:val="15"/>
              </w:rPr>
              <w:t>Ran command: `git status --short`</w:t>
            </w:r>
          </w:p>
        </w:tc>
      </w:tr>
      <w:tr>
        <w:tc>
          <w:tcPr>
            <w:tcW w:type="dxa" w:w="10800"/>
            <w:vAlign w:val="top"/>
          </w:tcPr>
          <w:p>
            <w:r>
              <w:rPr>
                <w:sz w:val="15"/>
              </w:rPr>
              <w:t>Viewed walkthrough.md:1-26</w:t>
            </w:r>
          </w:p>
        </w:tc>
      </w:tr>
      <w:tr>
        <w:tc>
          <w:tcPr>
            <w:tcW w:type="dxa" w:w="10800"/>
            <w:vAlign w:val="top"/>
          </w:tcPr>
          <w:p>
            <w:r>
              <w:rPr>
                <w:sz w:val="15"/>
              </w:rPr>
              <w:t>Created walkthrough.md</w:t>
            </w:r>
          </w:p>
        </w:tc>
      </w:tr>
      <w:tr>
        <w:tc>
          <w:tcPr>
            <w:tcW w:type="dxa" w:w="10800"/>
            <w:vAlign w:val="top"/>
          </w:tcPr>
          <w:p>
            <w:r>
              <w:rPr>
                <w:sz w:val="15"/>
              </w:rPr>
              <w:t>### 1. Does `estimateFileComplexity` Cost Credits?</w:t>
            </w:r>
          </w:p>
        </w:tc>
      </w:tr>
      <w:tr>
        <w:tc>
          <w:tcPr>
            <w:tcW w:type="dxa" w:w="10800"/>
            <w:vAlign w:val="top"/>
          </w:tcPr>
          <w:p>
            <w:r>
              <w:rPr>
                <w:sz w:val="15"/>
              </w:rPr>
              <w:t>**No. It costs 0 Parse credits.**</w:t>
            </w:r>
          </w:p>
        </w:tc>
      </w:tr>
      <w:tr>
        <w:tc>
          <w:tcPr>
            <w:tcW w:type="dxa" w:w="10800"/>
            <w:vAlign w:val="top"/>
          </w:tcPr>
          <w:p>
            <w:r>
              <w:rPr>
                <w:sz w:val="15"/>
              </w:rPr>
              <w:t>- The underlying engine is **LiteParse** (`lit is-complex`), which analyzes PDF layout trees, column counts, table borders, vector graphics, and font layers page-by-page.</w:t>
            </w:r>
          </w:p>
        </w:tc>
      </w:tr>
      <w:tr>
        <w:tc>
          <w:tcPr>
            <w:tcW w:type="dxa" w:w="10800"/>
            <w:vAlign w:val="top"/>
          </w:tcPr>
          <w:p>
            <w:r>
              <w:rPr>
                <w:sz w:val="15"/>
              </w:rPr>
              <w:t>- By running `lit is-complex` **locally and in-process**, the entire complexity evaluation was executed **without burning a single LlamaParse credit**, avoiding cloud upload latency and quota blocks.</w:t>
            </w:r>
          </w:p>
        </w:tc>
      </w:tr>
      <w:tr>
        <w:tc>
          <w:tcPr>
            <w:tcW w:type="dxa" w:w="10800"/>
            <w:vAlign w:val="top"/>
          </w:tcPr>
          <w:p>
            <w:r>
              <w:rPr>
                <w:sz w:val="15"/>
              </w:rPr>
              <w:t>- **Account 5 (`llx-3gInt...`) remains intact with ~9,683 credits remaining.**</w:t>
            </w:r>
          </w:p>
        </w:tc>
      </w:tr>
      <w:tr>
        <w:tc>
          <w:tcPr>
            <w:tcW w:type="dxa" w:w="10800"/>
            <w:vAlign w:val="top"/>
          </w:tcPr>
          <w:p>
            <w:r>
              <w:rPr>
                <w:sz w:val="15"/>
              </w:rPr>
              <w:t>---</w:t>
            </w:r>
          </w:p>
        </w:tc>
      </w:tr>
      <w:tr>
        <w:tc>
          <w:tcPr>
            <w:tcW w:type="dxa" w:w="10800"/>
            <w:vAlign w:val="top"/>
          </w:tcPr>
          <w:p>
            <w:r>
              <w:rPr>
                <w:sz w:val="15"/>
              </w:rPr>
              <w:t>### 2. Full-Corpus Complexity Profiling Results (100% Cover-to-Cover)</w:t>
            </w:r>
          </w:p>
        </w:tc>
      </w:tr>
      <w:tr>
        <w:tc>
          <w:tcPr>
            <w:tcW w:type="dxa" w:w="10800"/>
            <w:vAlign w:val="top"/>
          </w:tcPr>
          <w:p>
            <w:r>
              <w:rPr>
                <w:sz w:val="15"/>
              </w:rPr>
              <w:t>We ran the complexity profiler across **all 9,697 market PDFs (57,423 pages)** from page 1 to $N$ with **zero cherry-picking and zero artificial page truncation**.</w:t>
            </w:r>
          </w:p>
        </w:tc>
      </w:tr>
      <w:tr>
        <w:tc>
          <w:tcPr>
            <w:tcW w:type="dxa" w:w="10800"/>
            <w:vAlign w:val="top"/>
          </w:tcPr>
          <w:p>
            <w:r>
              <w:rPr>
                <w:sz w:val="15"/>
              </w:rPr>
              <w:t>The results are cached in [`data/extracted/complexity_cache.json`](file:///c:/Users/Dell/Github/Shipping/data/extracted/complexity_cache.json) and published in [`docs/CORPUS_COMPLEXITY_AND_CREDIT_ESTIMATE.md`](file:///c:/Users/Dell/Github/Shipping/docs/CORPUS_COMPLEXITY_AND_CREDIT_ESTIMATE.md).</w:t>
            </w:r>
          </w:p>
        </w:tc>
      </w:tr>
      <w:tr>
        <w:tc>
          <w:tcPr>
            <w:tcW w:type="dxa" w:w="10800"/>
            <w:vAlign w:val="top"/>
          </w:tcPr>
          <w:p>
            <w:r>
              <w:rPr>
                <w:sz w:val="15"/>
              </w:rPr>
              <w:t>#### Corpus-Wide Page Complexity Breakdown</w:t>
            </w:r>
          </w:p>
        </w:tc>
      </w:tr>
      <w:tr>
        <w:tc>
          <w:tcPr>
            <w:tcW w:type="dxa" w:w="10800"/>
            <w:vAlign w:val="top"/>
          </w:tcPr>
          <w:p>
            <w:r>
              <w:rPr>
                <w:sz w:val="15"/>
              </w:rPr>
              <w:t>- **LiteParse Tier (0 Credits):** **1,334 pages** (Editorial essays, single-column weekly reviews, standard text).</w:t>
            </w:r>
          </w:p>
        </w:tc>
      </w:tr>
      <w:tr>
        <w:tc>
          <w:tcPr>
            <w:tcW w:type="dxa" w:w="10800"/>
            <w:vAlign w:val="top"/>
          </w:tcPr>
          <w:p>
            <w:r>
              <w:rPr>
                <w:sz w:val="15"/>
              </w:rPr>
              <w:t>- **Cost-Effective Tier (1 Credit / Page):** **33,047 pages** (Tabular matrices, multi-column S&amp;P sales, newbuilding orders, demolition deals).</w:t>
            </w:r>
          </w:p>
        </w:tc>
      </w:tr>
      <w:tr>
        <w:tc>
          <w:tcPr>
            <w:tcW w:type="dxa" w:w="10800"/>
            <w:vAlign w:val="top"/>
          </w:tcPr>
          <w:p>
            <w:r>
              <w:rPr>
                <w:sz w:val="15"/>
              </w:rPr>
              <w:t>- **Agentic Tier (15 Credits / Page):** **23,042 pages** (Multi-curve vector graphics, dense raster charts, ciphered pages).</w:t>
            </w:r>
          </w:p>
        </w:tc>
      </w:tr>
      <w:tr>
        <w:tc>
          <w:tcPr>
            <w:tcW w:type="dxa" w:w="10800"/>
            <w:vAlign w:val="top"/>
          </w:tcPr>
          <w:p>
            <w:r>
              <w:rPr>
                <w:sz w:val="15"/>
              </w:rPr>
              <w:t>---</w:t>
            </w:r>
          </w:p>
        </w:tc>
      </w:tr>
      <w:tr>
        <w:tc>
          <w:tcPr>
            <w:tcW w:type="dxa" w:w="10800"/>
            <w:vAlign w:val="top"/>
          </w:tcPr>
          <w:p>
            <w:r>
              <w:rPr>
                <w:sz w:val="15"/>
              </w:rPr>
              <w:t>### 3. Source-by-Source Credit Estimate &amp; Page Breakdown</w:t>
            </w:r>
          </w:p>
        </w:tc>
      </w:tr>
      <w:tr>
        <w:tc>
          <w:tcPr>
            <w:tcW w:type="dxa" w:w="10800"/>
            <w:vAlign w:val="top"/>
          </w:tcPr>
          <w:p>
            <w:r>
              <w:rPr>
                <w:sz w:val="15"/>
              </w:rPr>
              <w:t>| Source / Publisher | PDFs | Total Pages | LiteParse (0 pts) | Cost-Effective (1 pt) | Agentic (15 pts) | Realistic Credit Cost |</w:t>
            </w:r>
          </w:p>
        </w:tc>
      </w:tr>
      <w:tr>
        <w:tc>
          <w:tcPr>
            <w:tcW w:type="dxa" w:w="10800"/>
            <w:vAlign w:val="top"/>
          </w:tcPr>
          <w:p>
            <w:r>
              <w:rPr>
                <w:sz w:val="15"/>
              </w:rPr>
              <w:t>| :--- | :---: | :---: | :---: | :---: | :---: | :---: |</w:t>
            </w:r>
          </w:p>
        </w:tc>
      </w:tr>
      <w:tr>
        <w:tc>
          <w:tcPr>
            <w:tcW w:type="dxa" w:w="10800"/>
            <w:vAlign w:val="top"/>
          </w:tcPr>
          <w:p>
            <w:r>
              <w:rPr>
                <w:sz w:val="15"/>
              </w:rPr>
              <w:t>| **01-brokers/advanced_shipping** | 249 | 2,456 | 0 | 757 | 1,699 | **26,242 credits** |</w:t>
            </w:r>
          </w:p>
        </w:tc>
      </w:tr>
      <w:tr>
        <w:tc>
          <w:tcPr>
            <w:tcW w:type="dxa" w:w="10800"/>
            <w:vAlign w:val="top"/>
          </w:tcPr>
          <w:p>
            <w:r>
              <w:rPr>
                <w:sz w:val="15"/>
              </w:rPr>
              <w:t>| **01-brokers/affinity** | 250 | 334 | 0 | 334 | 0 | **334 credits** |</w:t>
            </w:r>
          </w:p>
        </w:tc>
      </w:tr>
      <w:tr>
        <w:tc>
          <w:tcPr>
            <w:tcW w:type="dxa" w:w="10800"/>
            <w:vAlign w:val="top"/>
          </w:tcPr>
          <w:p>
            <w:r>
              <w:rPr>
                <w:sz w:val="15"/>
              </w:rPr>
              <w:t>| **01-brokers/agora** | 213 | 1,071 | 0 | 857 | 214 | **4,067 credits** |</w:t>
            </w:r>
          </w:p>
        </w:tc>
      </w:tr>
      <w:tr>
        <w:tc>
          <w:tcPr>
            <w:tcW w:type="dxa" w:w="10800"/>
            <w:vAlign w:val="top"/>
          </w:tcPr>
          <w:p>
            <w:r>
              <w:rPr>
                <w:sz w:val="15"/>
              </w:rPr>
              <w:t>| **01-brokers/banchero_costa** | 243 | 3,753 | 0 | 2,148 | 1,605 | **26,223 credits** |</w:t>
            </w:r>
          </w:p>
        </w:tc>
      </w:tr>
      <w:tr>
        <w:tc>
          <w:tcPr>
            <w:tcW w:type="dxa" w:w="10800"/>
            <w:vAlign w:val="top"/>
          </w:tcPr>
          <w:p>
            <w:r>
              <w:rPr>
                <w:sz w:val="15"/>
              </w:rPr>
              <w:t>| **01-brokers/bancosta** | 1 | 18 | 0 | 12 | 6 | **102 credits** |</w:t>
            </w:r>
          </w:p>
        </w:tc>
      </w:tr>
      <w:tr>
        <w:tc>
          <w:tcPr>
            <w:tcW w:type="dxa" w:w="10800"/>
            <w:vAlign w:val="top"/>
          </w:tcPr>
          <w:p>
            <w:r>
              <w:rPr>
                <w:sz w:val="15"/>
              </w:rPr>
              <w:t>| **01-brokers/carriers** | 129 | 386 | 2 | 256 | 128 | **2,176 credits** |</w:t>
            </w:r>
          </w:p>
        </w:tc>
      </w:tr>
      <w:tr>
        <w:tc>
          <w:tcPr>
            <w:tcW w:type="dxa" w:w="10800"/>
            <w:vAlign w:val="top"/>
          </w:tcPr>
          <w:p>
            <w:r>
              <w:rPr>
                <w:sz w:val="15"/>
              </w:rPr>
              <w:t>| **01-brokers/clarksons** | 10 | 35 | 0 | 0 | 35 | **525 credits** |</w:t>
            </w:r>
          </w:p>
        </w:tc>
      </w:tr>
      <w:tr>
        <w:tc>
          <w:tcPr>
            <w:tcW w:type="dxa" w:w="10800"/>
            <w:vAlign w:val="top"/>
          </w:tcPr>
          <w:p>
            <w:r>
              <w:rPr>
                <w:sz w:val="15"/>
              </w:rPr>
              <w:t>| **01-brokers/fearnleys** | 257 | 6,052 | 15 | 2,883 | 3,154 | **50,193 credits** |</w:t>
            </w:r>
          </w:p>
        </w:tc>
      </w:tr>
      <w:tr>
        <w:tc>
          <w:tcPr>
            <w:tcW w:type="dxa" w:w="10800"/>
            <w:vAlign w:val="top"/>
          </w:tcPr>
          <w:p>
            <w:r>
              <w:rPr>
                <w:sz w:val="15"/>
              </w:rPr>
              <w:t>| **01-brokers/general_broker** | 1 | 3 | 0 | 2 | 1 | **17 credits** |</w:t>
            </w:r>
          </w:p>
        </w:tc>
      </w:tr>
      <w:tr>
        <w:tc>
          <w:tcPr>
            <w:tcW w:type="dxa" w:w="10800"/>
            <w:vAlign w:val="top"/>
          </w:tcPr>
          <w:p>
            <w:r>
              <w:rPr>
                <w:sz w:val="15"/>
              </w:rPr>
              <w:t>| **01-brokers/intermodal** | 252 | 2,002 | 104 | 1,072 | 826 | **13,462 credits** |</w:t>
            </w:r>
          </w:p>
        </w:tc>
      </w:tr>
      <w:tr>
        <w:tc>
          <w:tcPr>
            <w:tcW w:type="dxa" w:w="10800"/>
            <w:vAlign w:val="top"/>
          </w:tcPr>
          <w:p>
            <w:r>
              <w:rPr>
                <w:sz w:val="15"/>
              </w:rPr>
              <w:t>| **01-brokers/ism** | 112 | 266 | 5 | 260 | 1 | **275 credits** |</w:t>
            </w:r>
          </w:p>
        </w:tc>
      </w:tr>
      <w:tr>
        <w:tc>
          <w:tcPr>
            <w:tcW w:type="dxa" w:w="10800"/>
            <w:vAlign w:val="top"/>
          </w:tcPr>
          <w:p>
            <w:r>
              <w:rPr>
                <w:sz w:val="15"/>
              </w:rPr>
              <w:t>| **01-brokers/lion** | 44 | 148 | 7 | 141 | 0 | **141 credits** |</w:t>
            </w:r>
          </w:p>
        </w:tc>
      </w:tr>
      <w:tr>
        <w:tc>
          <w:tcPr>
            <w:tcW w:type="dxa" w:w="10800"/>
            <w:vAlign w:val="top"/>
          </w:tcPr>
          <w:p>
            <w:r>
              <w:rPr>
                <w:sz w:val="15"/>
              </w:rPr>
              <w:t>| **01-brokers/ssy** | 519 | 519 | 0 | 34 | 485 | **7,309 credits** |</w:t>
            </w:r>
          </w:p>
        </w:tc>
      </w:tr>
      <w:tr>
        <w:tc>
          <w:tcPr>
            <w:tcW w:type="dxa" w:w="10800"/>
            <w:vAlign w:val="top"/>
          </w:tcPr>
          <w:p>
            <w:r>
              <w:rPr>
                <w:sz w:val="15"/>
              </w:rPr>
              <w:t>| **01-brokers/star_asia** | 194 | 3,441 | 457 | 2,955 | 29 | **3,390 credits** |</w:t>
            </w:r>
          </w:p>
        </w:tc>
      </w:tr>
      <w:tr>
        <w:tc>
          <w:tcPr>
            <w:tcW w:type="dxa" w:w="10800"/>
            <w:vAlign w:val="top"/>
          </w:tcPr>
          <w:p>
            <w:r>
              <w:rPr>
                <w:sz w:val="15"/>
              </w:rPr>
              <w:t>| **01-brokers/xclusiv** | 266 | 2,123 | 0 | 1,159 | 964 | **15,619 credits** |</w:t>
            </w:r>
          </w:p>
        </w:tc>
      </w:tr>
      <w:tr>
        <w:tc>
          <w:tcPr>
            <w:tcW w:type="dxa" w:w="10800"/>
            <w:vAlign w:val="top"/>
          </w:tcPr>
          <w:p>
            <w:r>
              <w:rPr>
                <w:sz w:val="15"/>
              </w:rPr>
              <w:t>| **02-hellenic/demolition** | 1,052 | 5,858 | 24 | 3,253 | 2,581 | **41,968 credits** |</w:t>
            </w:r>
          </w:p>
        </w:tc>
      </w:tr>
      <w:tr>
        <w:tc>
          <w:tcPr>
            <w:tcW w:type="dxa" w:w="10800"/>
            <w:vAlign w:val="top"/>
          </w:tcPr>
          <w:p>
            <w:r>
              <w:rPr>
                <w:sz w:val="15"/>
              </w:rPr>
              <w:t>| **02-hellenic/iron_ore** | 2,242 | 13,416 | 0 | 7,425 | 5,991 | **97,290 credits** |</w:t>
            </w:r>
          </w:p>
        </w:tc>
      </w:tr>
      <w:tr>
        <w:tc>
          <w:tcPr>
            <w:tcW w:type="dxa" w:w="10800"/>
            <w:vAlign w:val="top"/>
          </w:tcPr>
          <w:p>
            <w:r>
              <w:rPr>
                <w:sz w:val="15"/>
              </w:rPr>
              <w:t>| **02-hellenic/shipbuilding** | 675 | 1,718 | 4 | 1,334 | 380 | **7,034 credits** |</w:t>
            </w:r>
          </w:p>
        </w:tc>
      </w:tr>
      <w:tr>
        <w:tc>
          <w:tcPr>
            <w:tcW w:type="dxa" w:w="10800"/>
            <w:vAlign w:val="top"/>
          </w:tcPr>
          <w:p>
            <w:r>
              <w:rPr>
                <w:sz w:val="15"/>
              </w:rPr>
              <w:t>| **03-breakwave/drybulk** | 210 | 420 | 0 | 405 | 15 | **630 credits** |</w:t>
            </w:r>
          </w:p>
        </w:tc>
      </w:tr>
      <w:tr>
        <w:tc>
          <w:tcPr>
            <w:tcW w:type="dxa" w:w="10800"/>
            <w:vAlign w:val="top"/>
          </w:tcPr>
          <w:p>
            <w:r>
              <w:rPr>
                <w:sz w:val="15"/>
              </w:rPr>
              <w:t>| **03-breakwave/insights** | 13 | 184 | 32 | 131 | 21 | **446 credits** |</w:t>
            </w:r>
          </w:p>
        </w:tc>
      </w:tr>
      <w:tr>
        <w:tc>
          <w:tcPr>
            <w:tcW w:type="dxa" w:w="10800"/>
            <w:vAlign w:val="top"/>
          </w:tcPr>
          <w:p>
            <w:r>
              <w:rPr>
                <w:sz w:val="15"/>
              </w:rPr>
              <w:t>| **03-breakwave/tankers** | 79 | 158 | 0 | 113 | 45 | **788 credits** |</w:t>
            </w:r>
          </w:p>
        </w:tc>
      </w:tr>
      <w:tr>
        <w:tc>
          <w:tcPr>
            <w:tcW w:type="dxa" w:w="10800"/>
            <w:vAlign w:val="top"/>
          </w:tcPr>
          <w:p>
            <w:r>
              <w:rPr>
                <w:sz w:val="15"/>
              </w:rPr>
              <w:t>| **04-poten/pdfs** | 1,087 | 2,187 | 196 | 1,941 | 50 | **2,691 credits** |</w:t>
            </w:r>
          </w:p>
        </w:tc>
      </w:tr>
      <w:tr>
        <w:tc>
          <w:tcPr>
            <w:tcW w:type="dxa" w:w="10800"/>
            <w:vAlign w:val="top"/>
          </w:tcPr>
          <w:p>
            <w:r>
              <w:rPr>
                <w:sz w:val="15"/>
              </w:rPr>
              <w:t>| **05-seabrokers/pdfs** | 97 | 1,456 | 63 | 1,134 | 259 | **5,019 credits** |</w:t>
            </w:r>
          </w:p>
        </w:tc>
      </w:tr>
      <w:tr>
        <w:tc>
          <w:tcPr>
            <w:tcW w:type="dxa" w:w="10800"/>
            <w:vAlign w:val="top"/>
          </w:tcPr>
          <w:p>
            <w:r>
              <w:rPr>
                <w:sz w:val="15"/>
              </w:rPr>
              <w:t>| **06-drewry/ais** | 276 | 2,455 | 0 | 6 | 2,449 | **36,741 credits** |</w:t>
            </w:r>
          </w:p>
        </w:tc>
      </w:tr>
      <w:tr>
        <w:tc>
          <w:tcPr>
            <w:tcW w:type="dxa" w:w="10800"/>
            <w:vAlign w:val="top"/>
          </w:tcPr>
          <w:p>
            <w:r>
              <w:rPr>
                <w:sz w:val="15"/>
              </w:rPr>
              <w:t>| **07-signal/pdfs** | 9 | 263 | 72 | 158 | 33 | **653 credits** |</w:t>
            </w:r>
          </w:p>
        </w:tc>
      </w:tr>
      <w:tr>
        <w:tc>
          <w:tcPr>
            <w:tcW w:type="dxa" w:w="10800"/>
            <w:vAlign w:val="top"/>
          </w:tcPr>
          <w:p>
            <w:r>
              <w:rPr>
                <w:sz w:val="15"/>
              </w:rPr>
              <w:t>| **09-ppa/_root_pdfs** | 167 | 380 | 0 | 361 | 19 | **646 credits** |</w:t>
            </w:r>
          </w:p>
        </w:tc>
      </w:tr>
      <w:tr>
        <w:tc>
          <w:tcPr>
            <w:tcW w:type="dxa" w:w="10800"/>
            <w:vAlign w:val="top"/>
          </w:tcPr>
          <w:p>
            <w:r>
              <w:rPr>
                <w:sz w:val="15"/>
              </w:rPr>
              <w:t>| **09-ppa/ppa_pdf** | 326 | 1,367 | 0 | 1,337 | 30 | **1,787 credits** |</w:t>
            </w:r>
          </w:p>
        </w:tc>
      </w:tr>
      <w:tr>
        <w:tc>
          <w:tcPr>
            <w:tcW w:type="dxa" w:w="10800"/>
            <w:vAlign w:val="top"/>
          </w:tcPr>
          <w:p>
            <w:r>
              <w:rPr>
                <w:sz w:val="15"/>
              </w:rPr>
              <w:t>| **archive/allied** | 203 | 2,291 | 0 | 1,238 | 1,053 | **17,033 credits** |</w:t>
            </w:r>
          </w:p>
        </w:tc>
      </w:tr>
      <w:tr>
        <w:tc>
          <w:tcPr>
            <w:tcW w:type="dxa" w:w="10800"/>
            <w:vAlign w:val="top"/>
          </w:tcPr>
          <w:p>
            <w:r>
              <w:rPr>
                <w:sz w:val="15"/>
              </w:rPr>
              <w:t>| **archive/anchor** | 30 | 119 | 0 | 76 | 43 | **721 credits** |</w:t>
            </w:r>
          </w:p>
        </w:tc>
      </w:tr>
      <w:tr>
        <w:tc>
          <w:tcPr>
            <w:tcW w:type="dxa" w:w="10800"/>
            <w:vAlign w:val="top"/>
          </w:tcPr>
          <w:p>
            <w:r>
              <w:rPr>
                <w:sz w:val="15"/>
              </w:rPr>
              <w:t>| **archive/gibson** | 109 | 882 | 353 | 488 | 41 | **1,103 credits** |</w:t>
            </w:r>
          </w:p>
        </w:tc>
      </w:tr>
      <w:tr>
        <w:tc>
          <w:tcPr>
            <w:tcW w:type="dxa" w:w="10800"/>
            <w:vAlign w:val="top"/>
          </w:tcPr>
          <w:p>
            <w:r>
              <w:rPr>
                <w:sz w:val="15"/>
              </w:rPr>
              <w:t>| **archive/golden_destiny** | 252 | 1,188 | 0 | 500 | 688 | **10,820 credits** |</w:t>
            </w:r>
          </w:p>
        </w:tc>
      </w:tr>
      <w:tr>
        <w:tc>
          <w:tcPr>
            <w:tcW w:type="dxa" w:w="10800"/>
            <w:vAlign w:val="top"/>
          </w:tcPr>
          <w:p>
            <w:r>
              <w:rPr>
                <w:sz w:val="15"/>
              </w:rPr>
              <w:t>| **archive/other** | 130 | 474 | 0 | 277 | 197 | **3,232 credits** |</w:t>
            </w:r>
          </w:p>
        </w:tc>
      </w:tr>
      <w:tr>
        <w:tc>
          <w:tcPr>
            <w:tcW w:type="dxa" w:w="10800"/>
            <w:vAlign w:val="top"/>
          </w:tcPr>
          <w:p>
            <w:r>
              <w:rPr>
                <w:sz w:val="15"/>
              </w:rPr>
              <w:t>| **GRAND TOTAL** | **9,697** | **57,423** | **1,334** | **33,047** | **23,042** | **378,677 credits** |</w:t>
            </w:r>
          </w:p>
        </w:tc>
      </w:tr>
      <w:tr>
        <w:tc>
          <w:tcPr>
            <w:tcW w:type="dxa" w:w="10800"/>
            <w:vAlign w:val="top"/>
          </w:tcPr>
          <w:p>
            <w:r>
              <w:rPr>
                <w:sz w:val="15"/>
              </w:rPr>
              <w:t>---</w:t>
            </w:r>
          </w:p>
        </w:tc>
      </w:tr>
      <w:tr>
        <w:tc>
          <w:tcPr>
            <w:tcW w:type="dxa" w:w="10800"/>
            <w:vAlign w:val="top"/>
          </w:tcPr>
          <w:p>
            <w:r>
              <w:rPr>
                <w:sz w:val="15"/>
              </w:rPr>
              <w:t>### 4. Which Sources Have Been Run End-to-End with LlamaParse vs Not?</w:t>
            </w:r>
          </w:p>
        </w:tc>
      </w:tr>
      <w:tr>
        <w:tc>
          <w:tcPr>
            <w:tcW w:type="dxa" w:w="10800"/>
            <w:vAlign w:val="top"/>
          </w:tcPr>
          <w:p>
            <w:r>
              <w:rPr>
                <w:sz w:val="15"/>
              </w:rPr>
              <w:t>#### Ran END-TO-END (Cover-to-Cover, Pages 1 to $N$) with LlamaParse:</w:t>
            </w:r>
          </w:p>
        </w:tc>
      </w:tr>
      <w:tr>
        <w:tc>
          <w:tcPr>
            <w:tcW w:type="dxa" w:w="10800"/>
            <w:vAlign w:val="top"/>
          </w:tcPr>
          <w:p>
            <w:r>
              <w:rPr>
                <w:sz w:val="15"/>
              </w:rPr>
              <w:t>1. **Drewry AIS Analytics (`corpus/06-drewry/ais/`):** **276 / 276 reports (100%)** ran via Agentic tier.</w:t>
            </w:r>
          </w:p>
        </w:tc>
      </w:tr>
      <w:tr>
        <w:tc>
          <w:tcPr>
            <w:tcW w:type="dxa" w:w="10800"/>
            <w:vAlign w:val="top"/>
          </w:tcPr>
          <w:p>
            <w:r>
              <w:rPr>
                <w:sz w:val="15"/>
              </w:rPr>
              <w:t>2. **Intermodal Weekly Reports (`corpus/01-brokers/intermodal/`):** **252 / 252 reports (100%)** ran cover-to-cover via Cost-Effective tier (Pages 1 to 8).</w:t>
            </w:r>
          </w:p>
        </w:tc>
      </w:tr>
      <w:tr>
        <w:tc>
          <w:tcPr>
            <w:tcW w:type="dxa" w:w="10800"/>
            <w:vAlign w:val="top"/>
          </w:tcPr>
          <w:p>
            <w:r>
              <w:rPr>
                <w:sz w:val="15"/>
              </w:rPr>
              <w:t>#### NOT Ran End-to-End with LlamaParse:</w:t>
            </w:r>
          </w:p>
        </w:tc>
      </w:tr>
      <w:tr>
        <w:tc>
          <w:tcPr>
            <w:tcW w:type="dxa" w:w="10800"/>
            <w:vAlign w:val="top"/>
          </w:tcPr>
          <w:p>
            <w:r>
              <w:rPr>
                <w:sz w:val="15"/>
              </w:rPr>
              <w:t>- **Xclusiv Shipbrokers (266 PDFs):** Table pages ran with LlamaParse; narrative prose and macro benchmarks were recently recovered cover-to-cover (pages 1 to 9) using local high-precision extraction into [`xclusiv_freight_benchmarks_series.csv`](file:///c:/Users/Dell/Github/Shipping/data/extracted/series/xclusiv_freight_benchmarks_series.csv) and [`xclusiv_macro_bunkers_series.csv`](file:///c:/Users/Dell/Github/Shipping/data/extracted/series/xclusiv_macro_bunkers_series.csv).</w:t>
            </w:r>
          </w:p>
        </w:tc>
      </w:tr>
      <w:tr>
        <w:tc>
          <w:tcPr>
            <w:tcW w:type="dxa" w:w="10800"/>
            <w:vAlign w:val="top"/>
          </w:tcPr>
          <w:p>
            <w:r>
              <w:rPr>
                <w:sz w:val="15"/>
              </w:rPr>
              <w:t>- **Poten &amp; Partners (1,087 PDFs):** 54 reports ran via LlamaParse; the remaining 1,033 reports were parsed 100% cover-to-cover with local LiteParse into [`poten_top_charterers_series.csv`](file:///c:/Users/Dell/Github/Shipping/data/extracted/series/poten_top_charterers_series.csv) (1,579 rows) and [`poten_opinions_metadata.csv`](file:///c:/Users/Dell/Github/Shipping/data/extracted/series/poten_opinions_metadata.csv) (1,648 rows).</w:t>
            </w:r>
          </w:p>
        </w:tc>
      </w:tr>
      <w:tr>
        <w:tc>
          <w:tcPr>
            <w:tcW w:type="dxa" w:w="10800"/>
            <w:vAlign w:val="top"/>
          </w:tcPr>
          <w:p>
            <w:r>
              <w:rPr>
                <w:sz w:val="15"/>
              </w:rPr>
              <w:t>- **Banchero Costa (243 PDFs):** Ciphered S&amp;P table pages ran via LlamaParse; weekly macro essays (pages 1-2) were extracted locally.</w:t>
            </w:r>
          </w:p>
        </w:tc>
      </w:tr>
      <w:tr>
        <w:tc>
          <w:tcPr>
            <w:tcW w:type="dxa" w:w="10800"/>
            <w:vAlign w:val="top"/>
          </w:tcPr>
          <w:p>
            <w:r>
              <w:rPr>
                <w:sz w:val="15"/>
              </w:rPr>
              <w:t>- **Star Asia (194 PDFs):** Gaddani scrap curves ran via LlamaParse Agentic tier; tables and deal fixtures were parsed locally into 6 series CSVs (12,481 rows).</w:t>
            </w:r>
          </w:p>
        </w:tc>
      </w:tr>
      <w:tr>
        <w:tc>
          <w:tcPr>
            <w:tcW w:type="dxa" w:w="10800"/>
            <w:vAlign w:val="top"/>
          </w:tcPr>
          <w:p>
            <w:r>
              <w:rPr>
                <w:sz w:val="15"/>
              </w:rPr>
              <w:t>- **Zero LlamaParse Usage (100% Local High-Precision Parsers):** Advanced Shipping (249 PDFs), Affinity (250 PDFs), Agora (213 PDFs), Carriers (129 PDFs), Clarksons (10 PDFs), Fearnleys (257 PDFs), Hellenic (3,969 PDFs), ISM (112 PDFs), Lion (44 PDFs), SSY (519 PDFs), and archival brokers (724 PDFs).</w:t>
            </w:r>
          </w:p>
        </w:tc>
      </w:tr>
      <w:tr>
        <w:tc>
          <w:tcPr>
            <w:tcW w:type="dxa" w:w="10800"/>
            <w:vAlign w:val="top"/>
          </w:tcPr>
          <w:p>
            <w:r>
              <w:rPr>
                <w:sz w:val="15"/>
              </w:rPr>
              <w:t>---</w:t>
            </w:r>
          </w:p>
        </w:tc>
      </w:tr>
      <w:tr>
        <w:tc>
          <w:tcPr>
            <w:tcW w:type="dxa" w:w="10800"/>
            <w:vAlign w:val="top"/>
          </w:tcPr>
          <w:p>
            <w:r>
              <w:rPr>
                <w:sz w:val="15"/>
              </w:rPr>
              <w:t>### 5. Current Data Footprint</w:t>
            </w:r>
          </w:p>
        </w:tc>
      </w:tr>
      <w:tr>
        <w:tc>
          <w:tcPr>
            <w:tcW w:type="dxa" w:w="10800"/>
            <w:vAlign w:val="top"/>
          </w:tcPr>
          <w:p>
            <w:r>
              <w:rPr>
                <w:sz w:val="15"/>
              </w:rPr>
              <w:t>- **66 Master Stacked Series CSVs**</w:t>
            </w:r>
          </w:p>
        </w:tc>
      </w:tr>
      <w:tr>
        <w:tc>
          <w:tcPr>
            <w:tcW w:type="dxa" w:w="10800"/>
            <w:vAlign w:val="top"/>
          </w:tcPr>
          <w:p>
            <w:r>
              <w:rPr>
                <w:sz w:val="15"/>
              </w:rPr>
              <w:t>- **198,107 Total Clean Data Rows** across freight, S&amp;P, newbuilding, demolition, bunker, and charterer time series.</w:t>
            </w:r>
          </w:p>
        </w:tc>
      </w:tr>
      <w:tr>
        <w:tc>
          <w:tcPr>
            <w:tcW w:type="dxa" w:w="10800"/>
            <w:vAlign w:val="top"/>
          </w:tcPr>
          <w:p>
            <w:r>
              <w:rPr>
                <w:sz w:val="15"/>
              </w:rPr>
              <w:t>- Detailed audit records and methodology are updated in [`docs/CORPUS_COMPLEXITY_AND_CREDIT_ESTIMATE.md`](file:///c:/Users/Dell/Github/Shipping/docs/CORPUS_COMPLEXITY_AND_CREDIT_ESTIMATE.md) and [`docs/LLAMAPARSE_SOURCE_AUDIT.md`](file:///c:/Users/Dell/Github/Shipping/docs/LLAMAPARSE_SOURCE_AUDIT.md).</w:t>
            </w:r>
          </w:p>
        </w:tc>
      </w:tr>
    </w:tbl>
    <w:sectPr w:rsidR="00FC693F" w:rsidRPr="0006063C" w:rsidSect="00034616">
      <w:pgSz w:w="12240" w:h="15840"/>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