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0" w:lineRule="exact"/>
        <w:rPr>
          <w:rFonts w:eastAsia="楷体_GB2312"/>
          <w:sz w:val="24"/>
        </w:rPr>
      </w:pPr>
      <w:bookmarkStart w:id="0" w:name="OLE_LINK1"/>
    </w:p>
    <w:tbl>
      <w:tblPr>
        <w:tblStyle w:val="17"/>
        <w:tblW w:w="8522" w:type="dxa"/>
        <w:tblInd w:w="0" w:type="dxa"/>
        <w:tblLayout w:type="fixed"/>
        <w:tblCellMar>
          <w:top w:w="0" w:type="dxa"/>
          <w:left w:w="108" w:type="dxa"/>
          <w:bottom w:w="0" w:type="dxa"/>
          <w:right w:w="108" w:type="dxa"/>
        </w:tblCellMar>
      </w:tblPr>
      <w:tblGrid>
        <w:gridCol w:w="534"/>
        <w:gridCol w:w="6774"/>
        <w:gridCol w:w="720"/>
        <w:gridCol w:w="494"/>
      </w:tblGrid>
      <w:tr>
        <w:tblPrEx>
          <w:tblLayout w:type="fixed"/>
          <w:tblCellMar>
            <w:top w:w="0" w:type="dxa"/>
            <w:left w:w="108" w:type="dxa"/>
            <w:bottom w:w="0" w:type="dxa"/>
            <w:right w:w="108" w:type="dxa"/>
          </w:tblCellMar>
        </w:tblPrEx>
        <w:tc>
          <w:tcPr>
            <w:tcW w:w="8522" w:type="dxa"/>
            <w:gridSpan w:val="4"/>
          </w:tcPr>
          <w:p>
            <w:pPr>
              <w:spacing w:line="380" w:lineRule="exact"/>
              <w:jc w:val="center"/>
              <w:rPr>
                <w:rFonts w:eastAsia="楷体_GB2312"/>
                <w:b/>
                <w:sz w:val="24"/>
              </w:rPr>
            </w:pPr>
            <w:r>
              <w:rPr>
                <w:rFonts w:eastAsia="楷体_GB2312"/>
                <w:b/>
                <w:sz w:val="24"/>
              </w:rPr>
              <w:t>龙居2017年第一期个人住房抵押贷款证券化信托贷款服务机构报告</w:t>
            </w:r>
          </w:p>
        </w:tc>
      </w:tr>
      <w:tr>
        <w:tblPrEx>
          <w:tblLayout w:type="fixed"/>
          <w:tblCellMar>
            <w:top w:w="0" w:type="dxa"/>
            <w:left w:w="108" w:type="dxa"/>
            <w:bottom w:w="0" w:type="dxa"/>
            <w:right w:w="108" w:type="dxa"/>
          </w:tblCellMar>
        </w:tblPrEx>
        <w:tc>
          <w:tcPr>
            <w:tcW w:w="8522" w:type="dxa"/>
            <w:gridSpan w:val="4"/>
          </w:tcPr>
          <w:p>
            <w:pPr>
              <w:spacing w:line="380" w:lineRule="exact"/>
              <w:jc w:val="center"/>
              <w:rPr>
                <w:rFonts w:eastAsia="楷体_GB2312"/>
                <w:b/>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c>
          <w:tcPr>
            <w:tcW w:w="7308" w:type="dxa"/>
            <w:gridSpan w:val="2"/>
            <w:tcBorders>
              <w:top w:val="single" w:color="auto" w:sz="4" w:space="0"/>
              <w:left w:val="single" w:color="auto" w:sz="4" w:space="0"/>
              <w:bottom w:val="single" w:color="auto" w:sz="4" w:space="0"/>
              <w:right w:val="single" w:color="auto" w:sz="4" w:space="0"/>
            </w:tcBorders>
            <w:shd w:val="clear" w:color="auto" w:fill="D9D9D9"/>
          </w:tcPr>
          <w:p>
            <w:pPr>
              <w:spacing w:line="380" w:lineRule="exact"/>
              <w:jc w:val="center"/>
              <w:rPr>
                <w:rFonts w:eastAsia="楷体_GB2312"/>
                <w:b/>
                <w:sz w:val="24"/>
              </w:rPr>
            </w:pPr>
            <w:r>
              <w:rPr>
                <w:rFonts w:eastAsia="楷体_GB2312"/>
                <w:b/>
                <w:sz w:val="24"/>
              </w:rPr>
              <w:t>报告内容</w:t>
            </w:r>
          </w:p>
        </w:tc>
        <w:tc>
          <w:tcPr>
            <w:tcW w:w="720" w:type="dxa"/>
            <w:tcBorders>
              <w:top w:val="single" w:color="auto" w:sz="4" w:space="0"/>
              <w:left w:val="single" w:color="auto" w:sz="4" w:space="0"/>
              <w:bottom w:val="single" w:color="auto" w:sz="4" w:space="0"/>
              <w:right w:val="single" w:color="auto" w:sz="4" w:space="0"/>
            </w:tcBorders>
            <w:shd w:val="clear" w:color="auto" w:fill="D9D9D9"/>
          </w:tcPr>
          <w:p>
            <w:pPr>
              <w:spacing w:line="380" w:lineRule="exact"/>
              <w:jc w:val="center"/>
              <w:rPr>
                <w:rFonts w:eastAsia="楷体_GB2312"/>
                <w:b/>
                <w:sz w:val="24"/>
              </w:rPr>
            </w:pPr>
            <w:r>
              <w:rPr>
                <w:rFonts w:eastAsia="楷体_GB2312"/>
                <w:b/>
                <w:sz w:val="24"/>
              </w:rPr>
              <w:t>页码</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435"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1</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b/>
                <w:sz w:val="24"/>
              </w:rPr>
              <w:t>权利完善事件</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2</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465"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2</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贷款服务机构解任事件</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3-4</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450"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3</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加速清偿事件</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5-6</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360"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4</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本收款期间资产池贷款状态特征</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7</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390"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5</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不合格资产的赎回与替换</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8</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345"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6</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违约贷款在本收款期间期末所处的处置状态</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9</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435"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7</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违约贷款信息</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10-11</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360"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8</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现金流归集表</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12</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450"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9</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收款信息</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13-14</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465"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10</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划款信息</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16</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407"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11</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资产池存续期总体信息</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17</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407"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12</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当期损失贷款信息</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18</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rPr>
          <w:trHeight w:val="420"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13</w:t>
            </w:r>
          </w:p>
        </w:tc>
        <w:tc>
          <w:tcPr>
            <w:tcW w:w="67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当期违约贷款处置执行费用和执行情况</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18"/>
                <w:szCs w:val="18"/>
              </w:rPr>
            </w:pPr>
            <w:r>
              <w:rPr>
                <w:rFonts w:hint="eastAsia" w:eastAsia="楷体_GB2312"/>
                <w:sz w:val="18"/>
                <w:szCs w:val="18"/>
              </w:rPr>
              <w:t>19</w:t>
            </w:r>
          </w:p>
        </w:tc>
        <w:tc>
          <w:tcPr>
            <w:tcW w:w="494" w:type="dxa"/>
            <w:tcBorders>
              <w:left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c>
          <w:tcPr>
            <w:tcW w:w="534" w:type="dxa"/>
            <w:tcBorders>
              <w:top w:val="single" w:color="auto" w:sz="4" w:space="0"/>
            </w:tcBorders>
          </w:tcPr>
          <w:p>
            <w:pPr>
              <w:spacing w:line="380" w:lineRule="exact"/>
              <w:rPr>
                <w:rFonts w:eastAsia="楷体_GB2312"/>
                <w:sz w:val="24"/>
              </w:rPr>
            </w:pPr>
          </w:p>
        </w:tc>
        <w:tc>
          <w:tcPr>
            <w:tcW w:w="6774" w:type="dxa"/>
            <w:tcBorders>
              <w:top w:val="single" w:color="auto" w:sz="4" w:space="0"/>
            </w:tcBorders>
          </w:tcPr>
          <w:p>
            <w:pPr>
              <w:spacing w:line="380" w:lineRule="exact"/>
              <w:rPr>
                <w:rFonts w:eastAsia="楷体_GB2312"/>
              </w:rPr>
            </w:pPr>
            <w:r>
              <w:rPr>
                <w:rFonts w:eastAsia="楷体_GB2312"/>
              </w:rPr>
              <w:t>说明：</w:t>
            </w:r>
          </w:p>
          <w:p>
            <w:pPr>
              <w:spacing w:line="380" w:lineRule="exact"/>
              <w:rPr>
                <w:rFonts w:eastAsia="楷体_GB2312"/>
              </w:rPr>
            </w:pPr>
            <w:r>
              <w:rPr>
                <w:rFonts w:eastAsia="楷体_GB2312"/>
              </w:rPr>
              <w:t>（1）本报告内容根据贷款服务机构与受托人相关合同内容编制</w:t>
            </w:r>
          </w:p>
          <w:p>
            <w:pPr>
              <w:spacing w:line="380" w:lineRule="exact"/>
              <w:rPr>
                <w:rFonts w:eastAsia="楷体_GB2312"/>
              </w:rPr>
            </w:pPr>
            <w:r>
              <w:rPr>
                <w:rFonts w:eastAsia="楷体_GB2312"/>
              </w:rPr>
              <w:t>（2）本报告金额单位均以人民币元计</w:t>
            </w:r>
          </w:p>
          <w:p>
            <w:pPr>
              <w:spacing w:line="380" w:lineRule="exact"/>
              <w:rPr>
                <w:rFonts w:eastAsia="楷体_GB2312"/>
                <w:sz w:val="24"/>
              </w:rPr>
            </w:pPr>
            <w:r>
              <w:rPr>
                <w:rFonts w:eastAsia="楷体_GB2312"/>
              </w:rPr>
              <w:t>（3）收款期间为:</w:t>
            </w:r>
            <w:r>
              <w:rPr>
                <w:rFonts w:hint="eastAsia" w:eastAsia="楷体_GB2312"/>
              </w:rPr>
              <w:t>2018</w:t>
            </w:r>
            <w:r>
              <w:rPr>
                <w:rFonts w:eastAsia="楷体_GB2312"/>
              </w:rPr>
              <w:t>年</w:t>
            </w:r>
            <w:r>
              <w:rPr>
                <w:rFonts w:hint="eastAsia" w:eastAsia="楷体_GB2312"/>
              </w:rPr>
              <w:t>11</w:t>
            </w:r>
            <w:r>
              <w:rPr>
                <w:rFonts w:eastAsia="楷体_GB2312"/>
              </w:rPr>
              <w:t>月</w:t>
            </w:r>
            <w:r>
              <w:rPr>
                <w:rFonts w:hint="eastAsia" w:eastAsia="楷体_GB2312"/>
              </w:rPr>
              <w:t>1</w:t>
            </w:r>
            <w:r>
              <w:rPr>
                <w:rFonts w:eastAsia="楷体_GB2312"/>
              </w:rPr>
              <w:t>日至</w:t>
            </w:r>
            <w:r>
              <w:rPr>
                <w:rFonts w:hint="eastAsia" w:eastAsia="楷体_GB2312"/>
              </w:rPr>
              <w:t>2018</w:t>
            </w:r>
            <w:r>
              <w:rPr>
                <w:rFonts w:eastAsia="楷体_GB2312"/>
              </w:rPr>
              <w:t>年</w:t>
            </w:r>
            <w:r>
              <w:rPr>
                <w:rFonts w:hint="eastAsia" w:eastAsia="楷体_GB2312"/>
              </w:rPr>
              <w:t>11</w:t>
            </w:r>
            <w:r>
              <w:rPr>
                <w:rFonts w:eastAsia="楷体_GB2312"/>
              </w:rPr>
              <w:t>月</w:t>
            </w:r>
            <w:r>
              <w:rPr>
                <w:rFonts w:hint="eastAsia" w:eastAsia="楷体_GB2312"/>
              </w:rPr>
              <w:t>30</w:t>
            </w:r>
            <w:r>
              <w:rPr>
                <w:rFonts w:eastAsia="楷体_GB2312"/>
              </w:rPr>
              <w:t>日</w:t>
            </w:r>
          </w:p>
        </w:tc>
        <w:tc>
          <w:tcPr>
            <w:tcW w:w="720" w:type="dxa"/>
            <w:tcBorders>
              <w:top w:val="single" w:color="auto" w:sz="4" w:space="0"/>
            </w:tcBorders>
          </w:tcPr>
          <w:p>
            <w:pPr>
              <w:spacing w:line="380" w:lineRule="exact"/>
              <w:rPr>
                <w:rFonts w:eastAsia="楷体_GB2312"/>
                <w:sz w:val="24"/>
              </w:rPr>
            </w:pPr>
          </w:p>
        </w:tc>
        <w:tc>
          <w:tcPr>
            <w:tcW w:w="494" w:type="dxa"/>
          </w:tcPr>
          <w:p>
            <w:pPr>
              <w:spacing w:line="380" w:lineRule="exact"/>
              <w:rPr>
                <w:rFonts w:eastAsia="楷体_GB2312"/>
                <w:sz w:val="24"/>
              </w:rPr>
            </w:pPr>
          </w:p>
        </w:tc>
      </w:tr>
    </w:tbl>
    <w:p>
      <w:pPr>
        <w:spacing w:line="380" w:lineRule="exact"/>
        <w:rPr>
          <w:rFonts w:eastAsia="楷体_GB2312"/>
          <w:sz w:val="24"/>
        </w:rPr>
      </w:pPr>
    </w:p>
    <w:p>
      <w:pPr>
        <w:spacing w:line="380" w:lineRule="exact"/>
        <w:rPr>
          <w:rFonts w:eastAsia="楷体_GB2312"/>
          <w:sz w:val="24"/>
        </w:rPr>
      </w:pPr>
    </w:p>
    <w:p>
      <w:pPr>
        <w:spacing w:line="40" w:lineRule="exact"/>
        <w:jc w:val="left"/>
        <w:rPr>
          <w:rFonts w:eastAsia="楷体_GB2312"/>
          <w:b/>
          <w:sz w:val="24"/>
          <w:u w:val="single"/>
        </w:rPr>
      </w:pPr>
      <w:r>
        <w:rPr>
          <w:rFonts w:eastAsia="楷体_GB2312"/>
          <w:sz w:val="24"/>
        </w:rPr>
        <w:br w:type="page"/>
      </w:r>
    </w:p>
    <w:tbl>
      <w:tblPr>
        <w:tblStyle w:val="17"/>
        <w:tblW w:w="8522" w:type="dxa"/>
        <w:tblInd w:w="0" w:type="dxa"/>
        <w:tblLayout w:type="fixed"/>
        <w:tblCellMar>
          <w:top w:w="0" w:type="dxa"/>
          <w:left w:w="108" w:type="dxa"/>
          <w:bottom w:w="0" w:type="dxa"/>
          <w:right w:w="108" w:type="dxa"/>
        </w:tblCellMar>
      </w:tblPr>
      <w:tblGrid>
        <w:gridCol w:w="534"/>
        <w:gridCol w:w="6594"/>
        <w:gridCol w:w="720"/>
        <w:gridCol w:w="674"/>
      </w:tblGrid>
      <w:tr>
        <w:tblPrEx>
          <w:tblLayout w:type="fixed"/>
          <w:tblCellMar>
            <w:top w:w="0" w:type="dxa"/>
            <w:left w:w="108" w:type="dxa"/>
            <w:bottom w:w="0" w:type="dxa"/>
            <w:right w:w="108" w:type="dxa"/>
          </w:tblCellMar>
        </w:tblPrEx>
        <w:tc>
          <w:tcPr>
            <w:tcW w:w="8522" w:type="dxa"/>
            <w:gridSpan w:val="4"/>
          </w:tcPr>
          <w:p>
            <w:pPr>
              <w:spacing w:line="380" w:lineRule="exact"/>
              <w:jc w:val="center"/>
              <w:rPr>
                <w:rFonts w:eastAsia="楷体_GB2312"/>
                <w:b/>
                <w:sz w:val="24"/>
              </w:rPr>
            </w:pPr>
            <w:r>
              <w:rPr>
                <w:rFonts w:eastAsia="楷体_GB2312"/>
                <w:b/>
                <w:bCs/>
                <w:sz w:val="24"/>
              </w:rPr>
              <w:t>龙居2017年第一期个人住房抵押贷款证券化信托贷款服务机构报告</w:t>
            </w:r>
          </w:p>
        </w:tc>
      </w:tr>
      <w:tr>
        <w:tblPrEx>
          <w:tblLayout w:type="fixed"/>
          <w:tblCellMar>
            <w:top w:w="0" w:type="dxa"/>
            <w:left w:w="108" w:type="dxa"/>
            <w:bottom w:w="0" w:type="dxa"/>
            <w:right w:w="108" w:type="dxa"/>
          </w:tblCellMar>
        </w:tblPrEx>
        <w:tc>
          <w:tcPr>
            <w:tcW w:w="8522" w:type="dxa"/>
            <w:gridSpan w:val="4"/>
            <w:tcBorders>
              <w:bottom w:val="single" w:color="auto" w:sz="4" w:space="0"/>
            </w:tcBorders>
          </w:tcPr>
          <w:p>
            <w:pPr>
              <w:spacing w:line="380" w:lineRule="exact"/>
              <w:jc w:val="center"/>
              <w:rPr>
                <w:rFonts w:eastAsia="楷体_GB2312"/>
                <w:b/>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c>
          <w:tcPr>
            <w:tcW w:w="8522" w:type="dxa"/>
            <w:gridSpan w:val="4"/>
            <w:tcBorders>
              <w:top w:val="single" w:color="auto" w:sz="4" w:space="0"/>
              <w:left w:val="single" w:color="auto" w:sz="4" w:space="0"/>
              <w:bottom w:val="single" w:color="auto" w:sz="4" w:space="0"/>
              <w:right w:val="single" w:color="auto" w:sz="4" w:space="0"/>
            </w:tcBorders>
            <w:shd w:val="clear" w:color="auto" w:fill="D9D9D9"/>
          </w:tcPr>
          <w:p>
            <w:pPr>
              <w:spacing w:line="380" w:lineRule="exact"/>
              <w:rPr>
                <w:rFonts w:eastAsia="楷体_GB2312"/>
                <w:b/>
                <w:sz w:val="24"/>
              </w:rPr>
            </w:pPr>
            <w:r>
              <w:rPr>
                <w:rFonts w:eastAsia="楷体_GB2312"/>
                <w:b/>
                <w:sz w:val="24"/>
              </w:rPr>
              <w:t>1、权利完善事件</w:t>
            </w:r>
          </w:p>
        </w:tc>
      </w:tr>
      <w:tr>
        <w:tblPrEx>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p>
        </w:tc>
        <w:tc>
          <w:tcPr>
            <w:tcW w:w="65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是</w:t>
            </w:r>
          </w:p>
        </w:tc>
        <w:tc>
          <w:tcPr>
            <w:tcW w:w="6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否</w:t>
            </w:r>
          </w:p>
        </w:tc>
      </w:tr>
      <w:tr>
        <w:tblPrEx>
          <w:tblLayout w:type="fixed"/>
          <w:tblCellMar>
            <w:top w:w="0" w:type="dxa"/>
            <w:left w:w="108" w:type="dxa"/>
            <w:bottom w:w="0" w:type="dxa"/>
            <w:right w:w="108" w:type="dxa"/>
          </w:tblCellMar>
        </w:tblPrEx>
        <w:trPr>
          <w:trHeight w:val="494"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1</w:t>
            </w:r>
          </w:p>
        </w:tc>
        <w:tc>
          <w:tcPr>
            <w:tcW w:w="65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发生任何一起“贷款服务机构解任事件”，导致“贷款服务机构”被解任。</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6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406"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2</w:t>
            </w:r>
          </w:p>
        </w:tc>
        <w:tc>
          <w:tcPr>
            <w:tcW w:w="65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“评级机构”中某一家给予“贷款服务机构”的主体长期信用等级低于A。</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6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413"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3</w:t>
            </w:r>
          </w:p>
        </w:tc>
        <w:tc>
          <w:tcPr>
            <w:tcW w:w="65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“评级机构”中某一家给予“委托人”的主体长期信用等级低于A</w:t>
            </w:r>
            <w:r>
              <w:rPr>
                <w:rFonts w:eastAsia="楷体_GB2312"/>
                <w:kern w:val="0"/>
              </w:rPr>
              <w:t>。</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6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404"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4</w:t>
            </w:r>
          </w:p>
        </w:tc>
        <w:tc>
          <w:tcPr>
            <w:tcW w:w="65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“委托人”发生任何一起“丧失清偿能力事件”。</w:t>
            </w:r>
          </w:p>
        </w:tc>
        <w:tc>
          <w:tcPr>
            <w:tcW w:w="72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6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c>
          <w:tcPr>
            <w:tcW w:w="534" w:type="dxa"/>
            <w:tcBorders>
              <w:top w:val="single" w:color="auto" w:sz="4" w:space="0"/>
            </w:tcBorders>
          </w:tcPr>
          <w:p>
            <w:pPr>
              <w:spacing w:line="380" w:lineRule="exact"/>
              <w:rPr>
                <w:rFonts w:eastAsia="楷体_GB2312"/>
                <w:sz w:val="24"/>
              </w:rPr>
            </w:pPr>
          </w:p>
        </w:tc>
        <w:tc>
          <w:tcPr>
            <w:tcW w:w="6594" w:type="dxa"/>
            <w:tcBorders>
              <w:top w:val="single" w:color="auto" w:sz="4" w:space="0"/>
            </w:tcBorders>
          </w:tcPr>
          <w:p>
            <w:pPr>
              <w:spacing w:line="380" w:lineRule="exact"/>
              <w:rPr>
                <w:rFonts w:eastAsia="楷体_GB2312"/>
                <w:sz w:val="24"/>
              </w:rPr>
            </w:pPr>
          </w:p>
        </w:tc>
        <w:tc>
          <w:tcPr>
            <w:tcW w:w="720" w:type="dxa"/>
            <w:tcBorders>
              <w:top w:val="single" w:color="auto" w:sz="4" w:space="0"/>
            </w:tcBorders>
          </w:tcPr>
          <w:p>
            <w:pPr>
              <w:spacing w:line="380" w:lineRule="exact"/>
              <w:rPr>
                <w:rFonts w:eastAsia="楷体_GB2312"/>
                <w:sz w:val="24"/>
              </w:rPr>
            </w:pPr>
          </w:p>
        </w:tc>
        <w:tc>
          <w:tcPr>
            <w:tcW w:w="674" w:type="dxa"/>
            <w:tcBorders>
              <w:top w:val="single" w:color="auto" w:sz="4" w:space="0"/>
            </w:tcBorders>
          </w:tcPr>
          <w:p>
            <w:pPr>
              <w:spacing w:line="380" w:lineRule="exact"/>
              <w:rPr>
                <w:rFonts w:eastAsia="楷体_GB2312"/>
                <w:sz w:val="24"/>
              </w:rPr>
            </w:pPr>
          </w:p>
        </w:tc>
      </w:tr>
      <w:tr>
        <w:tblPrEx>
          <w:tblLayout w:type="fixed"/>
          <w:tblCellMar>
            <w:top w:w="0" w:type="dxa"/>
            <w:left w:w="108" w:type="dxa"/>
            <w:bottom w:w="0" w:type="dxa"/>
            <w:right w:w="108" w:type="dxa"/>
          </w:tblCellMar>
        </w:tblPrEx>
        <w:tc>
          <w:tcPr>
            <w:tcW w:w="534" w:type="dxa"/>
          </w:tcPr>
          <w:p>
            <w:pPr>
              <w:spacing w:line="380" w:lineRule="exact"/>
              <w:rPr>
                <w:rFonts w:eastAsia="楷体_GB2312"/>
                <w:sz w:val="24"/>
              </w:rPr>
            </w:pPr>
          </w:p>
        </w:tc>
        <w:tc>
          <w:tcPr>
            <w:tcW w:w="6594" w:type="dxa"/>
          </w:tcPr>
          <w:p>
            <w:pPr>
              <w:spacing w:line="380" w:lineRule="exact"/>
              <w:rPr>
                <w:rFonts w:eastAsia="楷体_GB2312"/>
                <w:sz w:val="24"/>
              </w:rPr>
            </w:pPr>
            <w:r>
              <w:rPr>
                <w:rFonts w:eastAsia="楷体_GB2312"/>
                <w:sz w:val="24"/>
              </w:rPr>
              <w:t>贷款服务机构公章或业务管理部门章</w:t>
            </w:r>
          </w:p>
        </w:tc>
        <w:tc>
          <w:tcPr>
            <w:tcW w:w="720" w:type="dxa"/>
          </w:tcPr>
          <w:p>
            <w:pPr>
              <w:spacing w:line="380" w:lineRule="exact"/>
              <w:rPr>
                <w:rFonts w:eastAsia="楷体_GB2312"/>
                <w:sz w:val="24"/>
              </w:rPr>
            </w:pPr>
          </w:p>
        </w:tc>
        <w:tc>
          <w:tcPr>
            <w:tcW w:w="674" w:type="dxa"/>
          </w:tcPr>
          <w:p>
            <w:pPr>
              <w:spacing w:line="380" w:lineRule="exact"/>
              <w:rPr>
                <w:rFonts w:eastAsia="楷体_GB2312"/>
                <w:sz w:val="24"/>
              </w:rPr>
            </w:pPr>
          </w:p>
        </w:tc>
      </w:tr>
    </w:tbl>
    <w:p>
      <w:pPr>
        <w:spacing w:line="380" w:lineRule="exact"/>
        <w:rPr>
          <w:rFonts w:eastAsia="楷体_GB2312"/>
          <w:sz w:val="24"/>
        </w:rPr>
      </w:pPr>
    </w:p>
    <w:p>
      <w:pPr>
        <w:spacing w:line="40" w:lineRule="exact"/>
        <w:jc w:val="left"/>
        <w:rPr>
          <w:rFonts w:eastAsia="楷体_GB2312"/>
          <w:b/>
          <w:sz w:val="24"/>
          <w:u w:val="single"/>
        </w:rPr>
      </w:pPr>
      <w:r>
        <w:rPr>
          <w:rFonts w:eastAsia="楷体_GB2312"/>
          <w:sz w:val="24"/>
        </w:rPr>
        <w:br w:type="page"/>
      </w:r>
    </w:p>
    <w:tbl>
      <w:tblPr>
        <w:tblStyle w:val="17"/>
        <w:tblW w:w="8522" w:type="dxa"/>
        <w:tblInd w:w="0" w:type="dxa"/>
        <w:tblLayout w:type="fixed"/>
        <w:tblCellMar>
          <w:top w:w="0" w:type="dxa"/>
          <w:left w:w="108" w:type="dxa"/>
          <w:bottom w:w="0" w:type="dxa"/>
          <w:right w:w="108" w:type="dxa"/>
        </w:tblCellMar>
      </w:tblPr>
      <w:tblGrid>
        <w:gridCol w:w="534"/>
        <w:gridCol w:w="6945"/>
        <w:gridCol w:w="549"/>
        <w:gridCol w:w="494"/>
      </w:tblGrid>
      <w:tr>
        <w:tblPrEx>
          <w:tblLayout w:type="fixed"/>
          <w:tblCellMar>
            <w:top w:w="0" w:type="dxa"/>
            <w:left w:w="108" w:type="dxa"/>
            <w:bottom w:w="0" w:type="dxa"/>
            <w:right w:w="108" w:type="dxa"/>
          </w:tblCellMar>
        </w:tblPrEx>
        <w:tc>
          <w:tcPr>
            <w:tcW w:w="8522" w:type="dxa"/>
            <w:gridSpan w:val="4"/>
          </w:tcPr>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c>
          <w:tcPr>
            <w:tcW w:w="8522" w:type="dxa"/>
            <w:gridSpan w:val="4"/>
            <w:tcBorders>
              <w:bottom w:val="single" w:color="auto" w:sz="4" w:space="0"/>
            </w:tcBorders>
          </w:tcPr>
          <w:p>
            <w:pPr>
              <w:spacing w:line="380" w:lineRule="exact"/>
              <w:jc w:val="center"/>
              <w:rPr>
                <w:rFonts w:eastAsia="楷体_GB2312"/>
                <w:b/>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c>
          <w:tcPr>
            <w:tcW w:w="8522" w:type="dxa"/>
            <w:gridSpan w:val="4"/>
            <w:tcBorders>
              <w:top w:val="single" w:color="auto" w:sz="4" w:space="0"/>
              <w:left w:val="single" w:color="auto" w:sz="4" w:space="0"/>
              <w:bottom w:val="single" w:color="auto" w:sz="4" w:space="0"/>
              <w:right w:val="single" w:color="auto" w:sz="4" w:space="0"/>
            </w:tcBorders>
            <w:shd w:val="clear" w:color="auto" w:fill="D9D9D9"/>
          </w:tcPr>
          <w:p>
            <w:pPr>
              <w:spacing w:line="380" w:lineRule="exact"/>
              <w:rPr>
                <w:rFonts w:eastAsia="楷体_GB2312"/>
                <w:b/>
                <w:sz w:val="24"/>
              </w:rPr>
            </w:pPr>
            <w:r>
              <w:rPr>
                <w:rFonts w:eastAsia="楷体_GB2312"/>
                <w:b/>
                <w:sz w:val="24"/>
              </w:rPr>
              <w:t>2、贷款服务机构解任事件</w:t>
            </w:r>
          </w:p>
        </w:tc>
      </w:tr>
      <w:tr>
        <w:tblPrEx>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p>
        </w:tc>
        <w:tc>
          <w:tcPr>
            <w:tcW w:w="694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p>
        </w:tc>
        <w:tc>
          <w:tcPr>
            <w:tcW w:w="549"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是</w:t>
            </w: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否</w:t>
            </w:r>
          </w:p>
        </w:tc>
      </w:tr>
      <w:tr>
        <w:tblPrEx>
          <w:tblLayout w:type="fixed"/>
          <w:tblCellMar>
            <w:top w:w="0" w:type="dxa"/>
            <w:left w:w="108" w:type="dxa"/>
            <w:bottom w:w="0" w:type="dxa"/>
            <w:right w:w="108" w:type="dxa"/>
          </w:tblCellMar>
        </w:tblPrEx>
        <w:trPr>
          <w:trHeight w:val="1429"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szCs w:val="24"/>
              </w:rPr>
            </w:pPr>
            <w:r>
              <w:rPr>
                <w:rFonts w:eastAsia="楷体_GB2312"/>
                <w:kern w:val="0"/>
                <w:sz w:val="24"/>
                <w:szCs w:val="24"/>
              </w:rPr>
              <w:t>1</w:t>
            </w:r>
          </w:p>
        </w:tc>
        <w:tc>
          <w:tcPr>
            <w:tcW w:w="694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szCs w:val="24"/>
              </w:rPr>
            </w:pPr>
            <w:r>
              <w:rPr>
                <w:rFonts w:eastAsia="楷体_GB2312"/>
                <w:kern w:val="0"/>
                <w:sz w:val="24"/>
                <w:szCs w:val="24"/>
              </w:rPr>
              <w:t>“贷款服务机构”未能于“回收款转付日”根据“《服务合同》”按时付款（除非由于“贷款服务机构”不能控制的技术故障、计算机故障或电汇支付系统故障导致未能及时付款，而使该付款到期日顺延），且在“回收款转付日”</w:t>
            </w:r>
            <w:r>
              <w:rPr>
                <w:rFonts w:eastAsia="楷体_GB2312"/>
                <w:sz w:val="24"/>
                <w:szCs w:val="24"/>
              </w:rPr>
              <w:t xml:space="preserve"> </w:t>
            </w:r>
            <w:r>
              <w:rPr>
                <w:rFonts w:eastAsia="楷体_GB2312"/>
                <w:kern w:val="0"/>
                <w:sz w:val="24"/>
                <w:szCs w:val="24"/>
              </w:rPr>
              <w:t>（如发生顺延，是指顺延后的“回收款转付日”）后3个“工作日”内仍未付款。</w:t>
            </w:r>
          </w:p>
        </w:tc>
        <w:tc>
          <w:tcPr>
            <w:tcW w:w="549"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404"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szCs w:val="24"/>
              </w:rPr>
            </w:pPr>
            <w:r>
              <w:rPr>
                <w:rFonts w:eastAsia="楷体_GB2312"/>
                <w:kern w:val="0"/>
                <w:sz w:val="24"/>
                <w:szCs w:val="24"/>
              </w:rPr>
              <w:t>2</w:t>
            </w:r>
          </w:p>
        </w:tc>
        <w:tc>
          <w:tcPr>
            <w:tcW w:w="6945" w:type="dxa"/>
            <w:tcBorders>
              <w:top w:val="single" w:color="auto" w:sz="4" w:space="0"/>
              <w:left w:val="single" w:color="auto" w:sz="4" w:space="0"/>
              <w:bottom w:val="single" w:color="auto" w:sz="4" w:space="0"/>
              <w:right w:val="single" w:color="auto" w:sz="4" w:space="0"/>
            </w:tcBorders>
          </w:tcPr>
          <w:p>
            <w:pPr>
              <w:spacing w:line="380" w:lineRule="atLeast"/>
              <w:rPr>
                <w:rFonts w:eastAsia="楷体_GB2312"/>
                <w:kern w:val="0"/>
                <w:sz w:val="24"/>
                <w:szCs w:val="24"/>
              </w:rPr>
            </w:pPr>
            <w:r>
              <w:rPr>
                <w:rFonts w:eastAsia="楷体_GB2312"/>
                <w:kern w:val="0"/>
                <w:sz w:val="24"/>
                <w:szCs w:val="24"/>
              </w:rPr>
              <w:t>发生与“贷款服务机构”有关的“丧失清偿能力事件”。</w:t>
            </w:r>
          </w:p>
        </w:tc>
        <w:tc>
          <w:tcPr>
            <w:tcW w:w="549"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1133"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szCs w:val="24"/>
              </w:rPr>
            </w:pPr>
            <w:r>
              <w:rPr>
                <w:rFonts w:eastAsia="楷体_GB2312"/>
                <w:kern w:val="0"/>
                <w:sz w:val="24"/>
                <w:szCs w:val="24"/>
              </w:rPr>
              <w:t>3</w:t>
            </w:r>
          </w:p>
        </w:tc>
        <w:tc>
          <w:tcPr>
            <w:tcW w:w="6945" w:type="dxa"/>
            <w:tcBorders>
              <w:top w:val="single" w:color="auto" w:sz="4" w:space="0"/>
              <w:left w:val="single" w:color="auto" w:sz="4" w:space="0"/>
              <w:bottom w:val="single" w:color="auto" w:sz="4" w:space="0"/>
              <w:right w:val="single" w:color="auto" w:sz="4" w:space="0"/>
            </w:tcBorders>
          </w:tcPr>
          <w:p>
            <w:pPr>
              <w:spacing w:line="380" w:lineRule="atLeast"/>
              <w:rPr>
                <w:rFonts w:eastAsia="楷体_GB2312"/>
                <w:kern w:val="0"/>
                <w:sz w:val="24"/>
                <w:szCs w:val="24"/>
              </w:rPr>
            </w:pPr>
            <w:r>
              <w:rPr>
                <w:rFonts w:eastAsia="楷体_GB2312"/>
                <w:kern w:val="0"/>
                <w:sz w:val="24"/>
                <w:szCs w:val="24"/>
              </w:rPr>
              <w:t>“贷款服务机构”未能保持履行“《服务合同》”项下实质性义务所需的资格、许可、批准、授权、和/或同意，或上述资格、许可、批准、授权、和/或同意被中止、收回或撤销。</w:t>
            </w:r>
          </w:p>
        </w:tc>
        <w:tc>
          <w:tcPr>
            <w:tcW w:w="549"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1972"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szCs w:val="24"/>
              </w:rPr>
            </w:pPr>
            <w:r>
              <w:rPr>
                <w:rFonts w:eastAsia="楷体_GB2312"/>
                <w:kern w:val="0"/>
                <w:sz w:val="24"/>
                <w:szCs w:val="24"/>
              </w:rPr>
              <w:t>4</w:t>
            </w:r>
          </w:p>
        </w:tc>
        <w:tc>
          <w:tcPr>
            <w:tcW w:w="6945" w:type="dxa"/>
            <w:tcBorders>
              <w:top w:val="single" w:color="auto" w:sz="4" w:space="0"/>
              <w:left w:val="single" w:color="auto" w:sz="4" w:space="0"/>
              <w:bottom w:val="single" w:color="auto" w:sz="4" w:space="0"/>
              <w:right w:val="single" w:color="auto" w:sz="4" w:space="0"/>
            </w:tcBorders>
          </w:tcPr>
          <w:p>
            <w:pPr>
              <w:spacing w:line="380" w:lineRule="atLeast"/>
              <w:rPr>
                <w:rFonts w:eastAsia="楷体_GB2312"/>
                <w:kern w:val="0"/>
                <w:sz w:val="24"/>
                <w:szCs w:val="24"/>
              </w:rPr>
            </w:pPr>
            <w:r>
              <w:rPr>
                <w:rFonts w:eastAsia="楷体_GB2312"/>
                <w:kern w:val="0"/>
                <w:sz w:val="24"/>
                <w:szCs w:val="24"/>
              </w:rPr>
              <w:t>“贷款服务机构”未能于“服务机构报告日”当日或之前交付相关“收款期间”的“贷款服务机构报告”（除非由于“贷款服务机构”不能控制的技术故障、计算机故障或电汇支付系统故障导致未能及时提供，而使“贷款服务机构”提供“贷款服务机构报告”的日期延后），且在“服务机构报告日”（如发生顺延，是指顺延后的“服务机构报告日”）后3个“工作日”内仍未提交。</w:t>
            </w:r>
          </w:p>
        </w:tc>
        <w:tc>
          <w:tcPr>
            <w:tcW w:w="549"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1830"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szCs w:val="24"/>
              </w:rPr>
            </w:pPr>
            <w:r>
              <w:rPr>
                <w:rFonts w:eastAsia="楷体_GB2312"/>
                <w:kern w:val="0"/>
                <w:sz w:val="24"/>
                <w:szCs w:val="24"/>
              </w:rPr>
              <w:t>5</w:t>
            </w:r>
          </w:p>
        </w:tc>
        <w:tc>
          <w:tcPr>
            <w:tcW w:w="6945" w:type="dxa"/>
            <w:tcBorders>
              <w:top w:val="single" w:color="auto" w:sz="4" w:space="0"/>
              <w:left w:val="single" w:color="auto" w:sz="4" w:space="0"/>
              <w:bottom w:val="single" w:color="auto" w:sz="4" w:space="0"/>
              <w:right w:val="single" w:color="auto" w:sz="4" w:space="0"/>
            </w:tcBorders>
          </w:tcPr>
          <w:p>
            <w:pPr>
              <w:spacing w:line="380" w:lineRule="atLeast"/>
              <w:rPr>
                <w:rFonts w:eastAsia="楷体_GB2312"/>
                <w:kern w:val="0"/>
                <w:sz w:val="24"/>
                <w:szCs w:val="24"/>
              </w:rPr>
            </w:pPr>
            <w:r>
              <w:rPr>
                <w:rFonts w:eastAsia="楷体_GB2312"/>
                <w:kern w:val="0"/>
                <w:sz w:val="24"/>
                <w:szCs w:val="24"/>
              </w:rPr>
              <w:t>“贷款服务机构”严重违反：</w:t>
            </w:r>
            <w:r>
              <w:rPr>
                <w:rFonts w:eastAsia="楷体_GB2312"/>
                <w:sz w:val="24"/>
                <w:szCs w:val="24"/>
              </w:rPr>
              <w:t>（</w:t>
            </w:r>
            <w:r>
              <w:rPr>
                <w:rFonts w:eastAsia="楷体_GB2312"/>
                <w:sz w:val="24"/>
                <w:szCs w:val="24"/>
              </w:rPr>
              <w:fldChar w:fldCharType="begin"/>
            </w:r>
            <w:r>
              <w:rPr>
                <w:rFonts w:eastAsia="楷体_GB2312"/>
                <w:sz w:val="24"/>
                <w:szCs w:val="24"/>
              </w:rPr>
              <w:instrText xml:space="preserve"> = 1 \* roman </w:instrText>
            </w:r>
            <w:r>
              <w:rPr>
                <w:rFonts w:eastAsia="楷体_GB2312"/>
                <w:sz w:val="24"/>
                <w:szCs w:val="24"/>
              </w:rPr>
              <w:fldChar w:fldCharType="separate"/>
            </w:r>
            <w:r>
              <w:rPr>
                <w:rFonts w:eastAsia="楷体_GB2312"/>
                <w:sz w:val="24"/>
                <w:szCs w:val="24"/>
              </w:rPr>
              <w:t>i</w:t>
            </w:r>
            <w:r>
              <w:rPr>
                <w:rFonts w:eastAsia="楷体_GB2312"/>
                <w:sz w:val="24"/>
                <w:szCs w:val="24"/>
              </w:rPr>
              <w:fldChar w:fldCharType="end"/>
            </w:r>
            <w:r>
              <w:rPr>
                <w:rFonts w:eastAsia="楷体_GB2312"/>
                <w:sz w:val="24"/>
                <w:szCs w:val="24"/>
              </w:rPr>
              <w:t>）</w:t>
            </w:r>
            <w:r>
              <w:rPr>
                <w:rFonts w:eastAsia="楷体_GB2312"/>
                <w:kern w:val="0"/>
                <w:sz w:val="24"/>
                <w:szCs w:val="24"/>
              </w:rPr>
              <w:t>除付款义务和提供报告义务以外的其他义务；</w:t>
            </w:r>
            <w:r>
              <w:rPr>
                <w:rFonts w:eastAsia="楷体_GB2312"/>
                <w:sz w:val="24"/>
                <w:szCs w:val="24"/>
              </w:rPr>
              <w:t>（</w:t>
            </w:r>
            <w:r>
              <w:rPr>
                <w:rFonts w:eastAsia="楷体_GB2312"/>
                <w:sz w:val="24"/>
                <w:szCs w:val="24"/>
              </w:rPr>
              <w:fldChar w:fldCharType="begin"/>
            </w:r>
            <w:r>
              <w:rPr>
                <w:rFonts w:eastAsia="楷体_GB2312"/>
                <w:sz w:val="24"/>
                <w:szCs w:val="24"/>
              </w:rPr>
              <w:instrText xml:space="preserve"> = 2 \* roman </w:instrText>
            </w:r>
            <w:r>
              <w:rPr>
                <w:rFonts w:eastAsia="楷体_GB2312"/>
                <w:sz w:val="24"/>
                <w:szCs w:val="24"/>
              </w:rPr>
              <w:fldChar w:fldCharType="separate"/>
            </w:r>
            <w:r>
              <w:rPr>
                <w:rFonts w:eastAsia="楷体_GB2312"/>
                <w:sz w:val="24"/>
                <w:szCs w:val="24"/>
              </w:rPr>
              <w:t>ii</w:t>
            </w:r>
            <w:r>
              <w:rPr>
                <w:rFonts w:eastAsia="楷体_GB2312"/>
                <w:sz w:val="24"/>
                <w:szCs w:val="24"/>
              </w:rPr>
              <w:fldChar w:fldCharType="end"/>
            </w:r>
            <w:r>
              <w:rPr>
                <w:rFonts w:eastAsia="楷体_GB2312"/>
                <w:sz w:val="24"/>
                <w:szCs w:val="24"/>
              </w:rPr>
              <w:t>）</w:t>
            </w:r>
            <w:r>
              <w:rPr>
                <w:rFonts w:eastAsia="楷体_GB2312"/>
                <w:kern w:val="0"/>
                <w:sz w:val="24"/>
                <w:szCs w:val="24"/>
              </w:rPr>
              <w:t>“贷款服务机构”在“交易文件”中所做的任何陈述和保证，且在“贷款服务机构”实际得知该等违约行为后，该行为仍持续超过15个“工作日”，以致对“信托财产”的回收产生“重大不利影响”。</w:t>
            </w:r>
          </w:p>
        </w:tc>
        <w:tc>
          <w:tcPr>
            <w:tcW w:w="549"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780"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szCs w:val="24"/>
              </w:rPr>
            </w:pPr>
            <w:r>
              <w:rPr>
                <w:rFonts w:eastAsia="楷体_GB2312"/>
                <w:kern w:val="0"/>
                <w:sz w:val="24"/>
                <w:szCs w:val="24"/>
              </w:rPr>
              <w:t>6</w:t>
            </w:r>
          </w:p>
        </w:tc>
        <w:tc>
          <w:tcPr>
            <w:tcW w:w="6945" w:type="dxa"/>
            <w:tcBorders>
              <w:top w:val="single" w:color="auto" w:sz="4" w:space="0"/>
              <w:left w:val="single" w:color="auto" w:sz="4" w:space="0"/>
              <w:bottom w:val="single" w:color="auto" w:sz="4" w:space="0"/>
              <w:right w:val="single" w:color="auto" w:sz="4" w:space="0"/>
            </w:tcBorders>
          </w:tcPr>
          <w:p>
            <w:pPr>
              <w:spacing w:line="380" w:lineRule="atLeast"/>
              <w:rPr>
                <w:rFonts w:eastAsia="楷体_GB2312"/>
                <w:kern w:val="0"/>
                <w:sz w:val="24"/>
                <w:szCs w:val="24"/>
              </w:rPr>
            </w:pPr>
            <w:r>
              <w:rPr>
                <w:rFonts w:eastAsia="楷体_GB2312"/>
                <w:kern w:val="0"/>
                <w:sz w:val="24"/>
                <w:szCs w:val="24"/>
              </w:rPr>
              <w:t>“资产支持证券持有人大会”合理认为已经发生与“贷款服务机构”有关的“重大不利变化”。</w:t>
            </w:r>
          </w:p>
        </w:tc>
        <w:tc>
          <w:tcPr>
            <w:tcW w:w="549"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1684" w:hRule="atLeast"/>
        </w:trPr>
        <w:tc>
          <w:tcPr>
            <w:tcW w:w="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szCs w:val="24"/>
              </w:rPr>
            </w:pPr>
            <w:r>
              <w:rPr>
                <w:rFonts w:eastAsia="楷体_GB2312"/>
                <w:kern w:val="0"/>
                <w:sz w:val="24"/>
                <w:szCs w:val="24"/>
              </w:rPr>
              <w:t>7</w:t>
            </w:r>
          </w:p>
        </w:tc>
        <w:tc>
          <w:tcPr>
            <w:tcW w:w="694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kern w:val="0"/>
                <w:sz w:val="24"/>
                <w:szCs w:val="24"/>
              </w:rPr>
            </w:pPr>
            <w:r>
              <w:rPr>
                <w:rFonts w:eastAsia="楷体_GB2312"/>
                <w:kern w:val="0"/>
                <w:sz w:val="24"/>
                <w:szCs w:val="24"/>
              </w:rPr>
              <w:t>仅在“华夏银行”为“贷款服务机构”时，“贷款服务机构”未能落实“《服务合同》”的约定，在“信托生效日”后90日内，未能按照“受托人”的要求，对“《服务合同》”指明的所有“账户记录”原件以及与上述“账户记录”相关的所有文件按“《服务合同》”的约定进行保管。</w:t>
            </w:r>
          </w:p>
        </w:tc>
        <w:tc>
          <w:tcPr>
            <w:tcW w:w="549" w:type="dxa"/>
            <w:tcBorders>
              <w:top w:val="single" w:color="auto" w:sz="4" w:space="0"/>
              <w:left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45" w:hRule="atLeast"/>
        </w:trPr>
        <w:tc>
          <w:tcPr>
            <w:tcW w:w="534" w:type="dxa"/>
            <w:vMerge w:val="restart"/>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szCs w:val="24"/>
              </w:rPr>
            </w:pPr>
            <w:r>
              <w:rPr>
                <w:rFonts w:eastAsia="楷体_GB2312"/>
                <w:kern w:val="0"/>
                <w:sz w:val="24"/>
                <w:szCs w:val="24"/>
              </w:rPr>
              <w:t>8</w:t>
            </w:r>
          </w:p>
        </w:tc>
        <w:tc>
          <w:tcPr>
            <w:tcW w:w="6945" w:type="dxa"/>
            <w:vMerge w:val="restart"/>
            <w:tcBorders>
              <w:top w:val="single" w:color="auto" w:sz="4" w:space="0"/>
              <w:left w:val="single" w:color="auto" w:sz="4" w:space="0"/>
              <w:bottom w:val="single" w:color="auto" w:sz="4" w:space="0"/>
              <w:right w:val="single" w:color="auto" w:sz="4" w:space="0"/>
            </w:tcBorders>
          </w:tcPr>
          <w:p>
            <w:pPr>
              <w:spacing w:line="380" w:lineRule="atLeast"/>
              <w:rPr>
                <w:rFonts w:eastAsia="楷体_GB2312"/>
                <w:kern w:val="0"/>
                <w:sz w:val="24"/>
                <w:szCs w:val="24"/>
              </w:rPr>
            </w:pPr>
            <w:r>
              <w:rPr>
                <w:rFonts w:eastAsia="楷体_GB2312"/>
                <w:kern w:val="0"/>
                <w:sz w:val="24"/>
                <w:szCs w:val="24"/>
              </w:rPr>
              <w:t>在将“对贷款服务机构报告执行商定程序的报告”的审阅结果书面通知“贷款服务机构”后的90日内，“受托人”合理地认为“贷款服务机构”已经实质性违反其在任何“交易文件”中所做的陈述或保证，“受托人”应立即通知“贷款服务机构”，“贷款服务机构”在接到该通知后5个工作日内应向“受托人”书面出具回复意见。</w:t>
            </w:r>
            <w:r>
              <w:rPr>
                <w:rFonts w:eastAsia="楷体_GB2312"/>
                <w:bCs/>
                <w:sz w:val="24"/>
                <w:szCs w:val="24"/>
              </w:rPr>
              <w:t>如果该书面回复意见仍对“资产”产生“重大不利影响”</w:t>
            </w:r>
            <w:r>
              <w:rPr>
                <w:rFonts w:eastAsia="楷体_GB2312"/>
                <w:kern w:val="0"/>
                <w:sz w:val="24"/>
                <w:szCs w:val="24"/>
              </w:rPr>
              <w:t>，则“受托人”应将此提交“资产支持证券持有人大会”审议。“资产支持证券持有人大会”合理认为已经发生“重大不利影响”。</w:t>
            </w:r>
          </w:p>
        </w:tc>
        <w:tc>
          <w:tcPr>
            <w:tcW w:w="549" w:type="dxa"/>
            <w:vMerge w:val="restart"/>
            <w:tcBorders>
              <w:top w:val="single" w:color="auto" w:sz="4" w:space="0"/>
              <w:left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right w:val="single" w:color="auto" w:sz="4" w:space="0"/>
            </w:tcBorders>
          </w:tcPr>
          <w:p>
            <w:pPr>
              <w:spacing w:line="380" w:lineRule="exact"/>
              <w:rPr>
                <w:rFonts w:eastAsia="楷体_GB2312"/>
              </w:rPr>
            </w:pPr>
          </w:p>
        </w:tc>
      </w:tr>
      <w:tr>
        <w:tblPrEx>
          <w:tblLayout w:type="fixed"/>
          <w:tblCellMar>
            <w:top w:w="0" w:type="dxa"/>
            <w:left w:w="108" w:type="dxa"/>
            <w:bottom w:w="0" w:type="dxa"/>
            <w:right w:w="108" w:type="dxa"/>
          </w:tblCellMar>
        </w:tblPrEx>
        <w:trPr>
          <w:trHeight w:val="70" w:hRule="atLeast"/>
        </w:trPr>
        <w:tc>
          <w:tcPr>
            <w:tcW w:w="534" w:type="dxa"/>
            <w:vMerge w:val="continue"/>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6945" w:type="dxa"/>
            <w:vMerge w:val="continue"/>
            <w:tcBorders>
              <w:top w:val="single" w:color="auto" w:sz="4" w:space="0"/>
              <w:left w:val="single" w:color="auto" w:sz="4" w:space="0"/>
              <w:bottom w:val="single" w:color="auto" w:sz="4" w:space="0"/>
              <w:right w:val="single" w:color="auto" w:sz="4" w:space="0"/>
            </w:tcBorders>
          </w:tcPr>
          <w:p>
            <w:pPr>
              <w:spacing w:line="380" w:lineRule="exact"/>
              <w:rPr>
                <w:rFonts w:eastAsia="楷体_GB2312"/>
                <w:kern w:val="0"/>
              </w:rPr>
            </w:pPr>
          </w:p>
        </w:tc>
        <w:tc>
          <w:tcPr>
            <w:tcW w:w="549" w:type="dxa"/>
            <w:vMerge w:val="continue"/>
            <w:tcBorders>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c>
          <w:tcPr>
            <w:tcW w:w="534" w:type="dxa"/>
            <w:tcBorders>
              <w:top w:val="single" w:color="auto" w:sz="4" w:space="0"/>
            </w:tcBorders>
          </w:tcPr>
          <w:p>
            <w:pPr>
              <w:spacing w:line="380" w:lineRule="exact"/>
              <w:rPr>
                <w:rFonts w:eastAsia="楷体_GB2312"/>
                <w:sz w:val="24"/>
                <w:szCs w:val="24"/>
              </w:rPr>
            </w:pPr>
          </w:p>
        </w:tc>
        <w:tc>
          <w:tcPr>
            <w:tcW w:w="6945" w:type="dxa"/>
            <w:tcBorders>
              <w:top w:val="single" w:color="auto" w:sz="4" w:space="0"/>
            </w:tcBorders>
          </w:tcPr>
          <w:p>
            <w:pPr>
              <w:spacing w:line="380" w:lineRule="exact"/>
              <w:rPr>
                <w:rFonts w:eastAsia="楷体_GB2312"/>
                <w:sz w:val="24"/>
                <w:szCs w:val="24"/>
              </w:rPr>
            </w:pPr>
            <w:r>
              <w:rPr>
                <w:rFonts w:eastAsia="楷体_GB2312"/>
                <w:sz w:val="24"/>
                <w:szCs w:val="24"/>
              </w:rPr>
              <w:t>贷款服务机构公章</w:t>
            </w:r>
            <w:r>
              <w:rPr>
                <w:rFonts w:eastAsia="楷体_GB2312"/>
                <w:sz w:val="24"/>
              </w:rPr>
              <w:t>或业务管理部门章</w:t>
            </w:r>
          </w:p>
        </w:tc>
        <w:tc>
          <w:tcPr>
            <w:tcW w:w="549" w:type="dxa"/>
            <w:tcBorders>
              <w:top w:val="single" w:color="auto" w:sz="4" w:space="0"/>
            </w:tcBorders>
          </w:tcPr>
          <w:p>
            <w:pPr>
              <w:spacing w:line="380" w:lineRule="exact"/>
              <w:rPr>
                <w:rFonts w:eastAsia="楷体_GB2312"/>
                <w:sz w:val="24"/>
                <w:szCs w:val="24"/>
              </w:rPr>
            </w:pPr>
          </w:p>
        </w:tc>
        <w:tc>
          <w:tcPr>
            <w:tcW w:w="494" w:type="dxa"/>
            <w:tcBorders>
              <w:top w:val="single" w:color="auto" w:sz="4" w:space="0"/>
            </w:tcBorders>
          </w:tcPr>
          <w:p>
            <w:pPr>
              <w:spacing w:line="380" w:lineRule="exact"/>
              <w:rPr>
                <w:rFonts w:eastAsia="楷体_GB2312"/>
                <w:sz w:val="24"/>
                <w:szCs w:val="24"/>
              </w:rPr>
            </w:pPr>
          </w:p>
        </w:tc>
      </w:tr>
    </w:tbl>
    <w:p>
      <w:pPr>
        <w:spacing w:line="380" w:lineRule="exact"/>
        <w:rPr>
          <w:rFonts w:eastAsia="楷体_GB2312"/>
          <w:sz w:val="24"/>
        </w:rPr>
      </w:pPr>
    </w:p>
    <w:p>
      <w:pPr>
        <w:spacing w:line="40" w:lineRule="exact"/>
        <w:rPr>
          <w:rFonts w:eastAsia="楷体_GB2312"/>
        </w:rPr>
      </w:pPr>
      <w:r>
        <w:rPr>
          <w:rFonts w:eastAsia="楷体_GB2312"/>
          <w:sz w:val="24"/>
        </w:rPr>
        <w:br w:type="page"/>
      </w:r>
    </w:p>
    <w:tbl>
      <w:tblPr>
        <w:tblStyle w:val="17"/>
        <w:tblW w:w="8522" w:type="dxa"/>
        <w:tblInd w:w="0" w:type="dxa"/>
        <w:tblLayout w:type="fixed"/>
        <w:tblCellMar>
          <w:top w:w="0" w:type="dxa"/>
          <w:left w:w="108" w:type="dxa"/>
          <w:bottom w:w="0" w:type="dxa"/>
          <w:right w:w="108" w:type="dxa"/>
        </w:tblCellMar>
      </w:tblPr>
      <w:tblGrid>
        <w:gridCol w:w="534"/>
        <w:gridCol w:w="6954"/>
        <w:gridCol w:w="540"/>
        <w:gridCol w:w="494"/>
      </w:tblGrid>
      <w:tr>
        <w:tblPrEx>
          <w:tblLayout w:type="fixed"/>
          <w:tblCellMar>
            <w:top w:w="0" w:type="dxa"/>
            <w:left w:w="108" w:type="dxa"/>
            <w:bottom w:w="0" w:type="dxa"/>
            <w:right w:w="108" w:type="dxa"/>
          </w:tblCellMar>
        </w:tblPrEx>
        <w:tc>
          <w:tcPr>
            <w:tcW w:w="8522" w:type="dxa"/>
            <w:gridSpan w:val="4"/>
          </w:tcPr>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c>
          <w:tcPr>
            <w:tcW w:w="8522" w:type="dxa"/>
            <w:gridSpan w:val="4"/>
            <w:tcBorders>
              <w:bottom w:val="single" w:color="auto" w:sz="4" w:space="0"/>
            </w:tcBorders>
          </w:tcPr>
          <w:p>
            <w:pPr>
              <w:spacing w:line="380" w:lineRule="exact"/>
              <w:jc w:val="center"/>
              <w:rPr>
                <w:rFonts w:eastAsia="楷体_GB2312"/>
                <w:b/>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c>
          <w:tcPr>
            <w:tcW w:w="8522" w:type="dxa"/>
            <w:gridSpan w:val="4"/>
            <w:tcBorders>
              <w:top w:val="single" w:color="auto" w:sz="4" w:space="0"/>
              <w:left w:val="single" w:color="auto" w:sz="4" w:space="0"/>
              <w:bottom w:val="single" w:color="auto" w:sz="4" w:space="0"/>
              <w:right w:val="single" w:color="auto" w:sz="4" w:space="0"/>
            </w:tcBorders>
            <w:shd w:val="clear" w:color="auto" w:fill="D9D9D9"/>
          </w:tcPr>
          <w:p>
            <w:pPr>
              <w:spacing w:line="380" w:lineRule="exact"/>
              <w:rPr>
                <w:rFonts w:eastAsia="楷体_GB2312"/>
                <w:b/>
                <w:sz w:val="24"/>
              </w:rPr>
            </w:pPr>
            <w:r>
              <w:rPr>
                <w:rFonts w:eastAsia="楷体_GB2312"/>
                <w:b/>
                <w:sz w:val="24"/>
              </w:rPr>
              <w:t>3、加速清偿事件</w:t>
            </w:r>
          </w:p>
        </w:tc>
      </w:tr>
      <w:tr>
        <w:tblPrEx>
          <w:tblLayout w:type="fixed"/>
          <w:tblCellMar>
            <w:top w:w="0" w:type="dxa"/>
            <w:left w:w="108" w:type="dxa"/>
            <w:bottom w:w="0" w:type="dxa"/>
            <w:right w:w="108" w:type="dxa"/>
          </w:tblCellMar>
        </w:tblPrEx>
        <w:tc>
          <w:tcPr>
            <w:tcW w:w="7488" w:type="dxa"/>
            <w:gridSpan w:val="2"/>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24"/>
              </w:rPr>
            </w:pPr>
            <w:r>
              <w:rPr>
                <w:rFonts w:eastAsia="楷体_GB2312"/>
                <w:b/>
                <w:sz w:val="24"/>
              </w:rPr>
              <w:t>自动生效的加速清偿事件</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是</w:t>
            </w: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否</w:t>
            </w:r>
          </w:p>
        </w:tc>
      </w:tr>
      <w:tr>
        <w:tblPrEx>
          <w:tblLayout w:type="fixed"/>
          <w:tblCellMar>
            <w:top w:w="0" w:type="dxa"/>
            <w:left w:w="108" w:type="dxa"/>
            <w:bottom w:w="0" w:type="dxa"/>
            <w:right w:w="108" w:type="dxa"/>
          </w:tblCellMar>
        </w:tblPrEx>
        <w:trPr>
          <w:trHeight w:val="395"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1</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kern w:val="0"/>
              </w:rPr>
              <w:t>“委托人”发生任何“丧失清偿能力事件”。</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406"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2</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发生任何“贷款服务机构解任事件”。</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421"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3</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“贷款服务机构”未能依据“交易文件”的约定按时付款或划转资金。</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1752"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4</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w:t>
            </w:r>
            <w:r>
              <w:rPr>
                <w:rFonts w:eastAsia="楷体_GB2312"/>
                <w:kern w:val="0"/>
              </w:rPr>
              <w:fldChar w:fldCharType="begin"/>
            </w:r>
            <w:r>
              <w:rPr>
                <w:rFonts w:eastAsia="楷体_GB2312"/>
                <w:kern w:val="0"/>
              </w:rPr>
              <w:instrText xml:space="preserve"> = 1 \* roman </w:instrText>
            </w:r>
            <w:r>
              <w:rPr>
                <w:rFonts w:eastAsia="楷体_GB2312"/>
                <w:kern w:val="0"/>
              </w:rPr>
              <w:fldChar w:fldCharType="separate"/>
            </w:r>
            <w:r>
              <w:rPr>
                <w:rFonts w:eastAsia="楷体_GB2312"/>
                <w:kern w:val="0"/>
              </w:rPr>
              <w:t>i</w:t>
            </w:r>
            <w:r>
              <w:rPr>
                <w:rFonts w:eastAsia="楷体_GB2312"/>
                <w:kern w:val="0"/>
              </w:rPr>
              <w:fldChar w:fldCharType="end"/>
            </w:r>
            <w:r>
              <w:rPr>
                <w:rFonts w:eastAsia="楷体_GB2312"/>
              </w:rPr>
              <w:t>）根据“《信托合同》”的约定，需要更换“受托人”或必须任命“后备贷款服务机构”，但在90日内，仍无法找到合格的继任的“受托人”或“后备贷款服务机构”，或（</w:t>
            </w:r>
            <w:r>
              <w:rPr>
                <w:rFonts w:eastAsia="楷体_GB2312"/>
                <w:kern w:val="0"/>
              </w:rPr>
              <w:fldChar w:fldCharType="begin"/>
            </w:r>
            <w:r>
              <w:rPr>
                <w:rFonts w:eastAsia="楷体_GB2312"/>
                <w:kern w:val="0"/>
              </w:rPr>
              <w:instrText xml:space="preserve"> = 2 \* roman </w:instrText>
            </w:r>
            <w:r>
              <w:rPr>
                <w:rFonts w:eastAsia="楷体_GB2312"/>
                <w:kern w:val="0"/>
              </w:rPr>
              <w:fldChar w:fldCharType="separate"/>
            </w:r>
            <w:r>
              <w:rPr>
                <w:rFonts w:eastAsia="楷体_GB2312"/>
                <w:kern w:val="0"/>
              </w:rPr>
              <w:t>ii</w:t>
            </w:r>
            <w:r>
              <w:rPr>
                <w:rFonts w:eastAsia="楷体_GB2312"/>
                <w:kern w:val="0"/>
              </w:rPr>
              <w:fldChar w:fldCharType="end"/>
            </w:r>
            <w:r>
              <w:rPr>
                <w:rFonts w:eastAsia="楷体_GB2312"/>
              </w:rPr>
              <w:t>）</w:t>
            </w:r>
            <w:r>
              <w:rPr>
                <w:rFonts w:eastAsia="楷体_GB2312"/>
                <w:kern w:val="0"/>
              </w:rPr>
              <w:t>在已经委任“后备贷款服务机构”的情况下，该“后备贷款服务机构”停止根据“《服务合同》”提供“后备服务”，或</w:t>
            </w:r>
            <w:r>
              <w:rPr>
                <w:rFonts w:eastAsia="楷体_GB2312"/>
              </w:rPr>
              <w:t>（</w:t>
            </w:r>
            <w:r>
              <w:rPr>
                <w:rFonts w:eastAsia="楷体_GB2312"/>
                <w:kern w:val="0"/>
              </w:rPr>
              <w:fldChar w:fldCharType="begin"/>
            </w:r>
            <w:r>
              <w:rPr>
                <w:rFonts w:eastAsia="楷体_GB2312"/>
                <w:kern w:val="0"/>
              </w:rPr>
              <w:instrText xml:space="preserve"> = 3 \* roman </w:instrText>
            </w:r>
            <w:r>
              <w:rPr>
                <w:rFonts w:eastAsia="楷体_GB2312"/>
                <w:kern w:val="0"/>
              </w:rPr>
              <w:fldChar w:fldCharType="separate"/>
            </w:r>
            <w:r>
              <w:rPr>
                <w:rFonts w:eastAsia="楷体_GB2312"/>
                <w:kern w:val="0"/>
              </w:rPr>
              <w:t>iii</w:t>
            </w:r>
            <w:r>
              <w:rPr>
                <w:rFonts w:eastAsia="楷体_GB2312"/>
                <w:kern w:val="0"/>
              </w:rPr>
              <w:fldChar w:fldCharType="end"/>
            </w:r>
            <w:r>
              <w:rPr>
                <w:rFonts w:eastAsia="楷体_GB2312"/>
              </w:rPr>
              <w:t>）</w:t>
            </w:r>
            <w:r>
              <w:rPr>
                <w:rFonts w:eastAsia="楷体_GB2312"/>
                <w:kern w:val="0"/>
              </w:rPr>
              <w:t>“后备贷款服务机构”被免职时，未能根据“交易文件”的约定任命继任者。</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329"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5</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在“信托生效日”后的相应周年年度（为避免歧义，系指自“信托生效日”起每满一年的年度）内，某一“收款期间”结束时的“累计违约率”超过与之相对应的数值：第一年</w:t>
            </w:r>
            <w:r>
              <w:rPr>
                <w:rFonts w:hint="eastAsia" w:eastAsia="楷体_GB2312"/>
                <w:kern w:val="0"/>
              </w:rPr>
              <w:t>1.5</w:t>
            </w:r>
            <w:r>
              <w:rPr>
                <w:rFonts w:eastAsia="楷体_GB2312"/>
                <w:kern w:val="0"/>
              </w:rPr>
              <w:t>%，第二年</w:t>
            </w:r>
            <w:r>
              <w:rPr>
                <w:rFonts w:hint="eastAsia" w:eastAsia="楷体_GB2312"/>
                <w:kern w:val="0"/>
              </w:rPr>
              <w:t>2.5</w:t>
            </w:r>
            <w:r>
              <w:rPr>
                <w:rFonts w:eastAsia="楷体_GB2312"/>
                <w:kern w:val="0"/>
              </w:rPr>
              <w:t>%，第三年</w:t>
            </w:r>
            <w:r>
              <w:rPr>
                <w:rFonts w:hint="eastAsia" w:eastAsia="楷体_GB2312"/>
                <w:kern w:val="0"/>
              </w:rPr>
              <w:t>3.5</w:t>
            </w:r>
            <w:r>
              <w:rPr>
                <w:rFonts w:eastAsia="楷体_GB2312"/>
                <w:kern w:val="0"/>
              </w:rPr>
              <w:t>%，第四年</w:t>
            </w:r>
            <w:r>
              <w:rPr>
                <w:rFonts w:hint="eastAsia" w:eastAsia="楷体_GB2312"/>
                <w:kern w:val="0"/>
              </w:rPr>
              <w:t>4.5</w:t>
            </w:r>
            <w:r>
              <w:rPr>
                <w:rFonts w:eastAsia="楷体_GB2312"/>
                <w:kern w:val="0"/>
              </w:rPr>
              <w:t>%，第五年</w:t>
            </w:r>
            <w:r>
              <w:rPr>
                <w:rFonts w:hint="eastAsia" w:eastAsia="楷体_GB2312"/>
                <w:kern w:val="0"/>
              </w:rPr>
              <w:t>至第十年5%，第十年</w:t>
            </w:r>
            <w:r>
              <w:rPr>
                <w:rFonts w:eastAsia="楷体_GB2312"/>
                <w:kern w:val="0"/>
              </w:rPr>
              <w:t>以后</w:t>
            </w:r>
            <w:r>
              <w:rPr>
                <w:rFonts w:hint="eastAsia" w:eastAsia="楷体_GB2312"/>
                <w:kern w:val="0"/>
              </w:rPr>
              <w:t>7</w:t>
            </w:r>
            <w:r>
              <w:rPr>
                <w:rFonts w:eastAsia="楷体_GB2312"/>
                <w:kern w:val="0"/>
              </w:rPr>
              <w:t>%。</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329"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6</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前三个连续“收款期间”（如指第一个和第二个“收款期间”，则分别指连续一个或两个“收款期间”）的平均“严重拖欠率”超过3%。</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329"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7</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在“优先A级资产支持证券”“预期到期日”前第一个“信托利益核算日”，按照“《信托合同》”第10.4.2款约定的分配顺序无法足额分配“优先</w:t>
            </w:r>
            <w:r>
              <w:rPr>
                <w:rFonts w:eastAsia="楷体_GB2312"/>
                <w:bCs/>
                <w:sz w:val="24"/>
              </w:rPr>
              <w:t>A</w:t>
            </w:r>
            <w:r>
              <w:rPr>
                <w:rFonts w:eastAsia="楷体_GB2312"/>
                <w:kern w:val="0"/>
              </w:rPr>
              <w:t>级资产支持证券”的“未偿本金余额”；</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329"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8</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在“优先B级资产支持证券”“预期到期日”前第一个“信托利益核算日”，按照“《信托合同》”第10.4.2款约定的分配顺序无法足额分配“优先B级资产支持证券”的“未偿本金余额”；</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329"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9</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发生“违约事件”中所列的(d)项，且“资产支持证券持有人大会”尚未决定宣布发生“违约事件”；</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c>
          <w:tcPr>
            <w:tcW w:w="7488" w:type="dxa"/>
            <w:gridSpan w:val="2"/>
            <w:tcBorders>
              <w:top w:val="single" w:color="auto" w:sz="4" w:space="0"/>
              <w:left w:val="single" w:color="auto" w:sz="4" w:space="0"/>
              <w:bottom w:val="single" w:color="auto" w:sz="4" w:space="0"/>
              <w:right w:val="single" w:color="auto" w:sz="4" w:space="0"/>
            </w:tcBorders>
          </w:tcPr>
          <w:p>
            <w:pPr>
              <w:spacing w:line="360" w:lineRule="exact"/>
              <w:rPr>
                <w:rFonts w:eastAsia="楷体_GB2312"/>
                <w:b/>
                <w:sz w:val="24"/>
              </w:rPr>
            </w:pPr>
            <w:r>
              <w:rPr>
                <w:rFonts w:eastAsia="楷体_GB2312"/>
                <w:b/>
                <w:sz w:val="24"/>
              </w:rPr>
              <w:t>需经宣布生效的加速清偿事件</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是</w:t>
            </w: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sz w:val="24"/>
              </w:rPr>
            </w:pPr>
            <w:r>
              <w:rPr>
                <w:rFonts w:eastAsia="楷体_GB2312"/>
                <w:sz w:val="24"/>
              </w:rPr>
              <w:t>否</w:t>
            </w:r>
          </w:p>
        </w:tc>
      </w:tr>
      <w:tr>
        <w:tblPrEx>
          <w:tblLayout w:type="fixed"/>
          <w:tblCellMar>
            <w:top w:w="0" w:type="dxa"/>
            <w:left w:w="108" w:type="dxa"/>
            <w:bottom w:w="0" w:type="dxa"/>
            <w:right w:w="108" w:type="dxa"/>
          </w:tblCellMar>
        </w:tblPrEx>
        <w:trPr>
          <w:trHeight w:val="1435"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10</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kern w:val="0"/>
              </w:rPr>
              <w:t>“委托人”或“贷款服务机构”未能履行或遵守其在“交易文件”项下的任何主要义务（上述第3项约定的义务除外），并且“受托人”合理地认为该等行为无法补救或在“受托人”发出要求其补救的书面通知后30天内未能得到补救。</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704"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11</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“委托人”在“交易文件”中提供的任何陈述、保证</w:t>
            </w:r>
            <w:r>
              <w:rPr>
                <w:rFonts w:eastAsia="楷体_GB2312"/>
              </w:rPr>
              <w:t>（“资产保证”除外）</w:t>
            </w:r>
            <w:r>
              <w:rPr>
                <w:rFonts w:eastAsia="楷体_GB2312"/>
                <w:kern w:val="0"/>
              </w:rPr>
              <w:t>在提供时便有重大不实或误导成分。</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686"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rPr>
            </w:pPr>
            <w:r>
              <w:rPr>
                <w:rFonts w:eastAsia="楷体_GB2312"/>
              </w:rPr>
              <w:t>12</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发生对“贷款服务机构”、“委托人”、“受托人”或者“资产池”有“重大不利影响”的事件。</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否</w:t>
            </w:r>
          </w:p>
        </w:tc>
      </w:tr>
      <w:tr>
        <w:tblPrEx>
          <w:tblLayout w:type="fixed"/>
          <w:tblCellMar>
            <w:top w:w="0" w:type="dxa"/>
            <w:left w:w="108" w:type="dxa"/>
            <w:bottom w:w="0" w:type="dxa"/>
            <w:right w:w="108" w:type="dxa"/>
          </w:tblCellMar>
        </w:tblPrEx>
        <w:trPr>
          <w:trHeight w:val="1124" w:hRule="atLeast"/>
        </w:trPr>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13</w:t>
            </w: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“《主定义表》”、“《信托合同》”、“《服务合同》”、“《资金保管合同》”全部或部分被终止，成为或将成为无效、违法或不可根据其条款主张权利，并由此产生“重大不利影响”。</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hint="eastAsia" w:eastAsia="楷体_GB2312"/>
              </w:rPr>
              <w:t>否</w:t>
            </w:r>
          </w:p>
        </w:tc>
      </w:tr>
      <w:tr>
        <w:tblPrEx>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sz w:val="24"/>
              </w:rPr>
            </w:pP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sz w:val="24"/>
              </w:rPr>
            </w:pPr>
            <w:r>
              <w:rPr>
                <w:rFonts w:eastAsia="楷体_GB2312"/>
                <w:kern w:val="0"/>
              </w:rPr>
              <w:t>发生上述第10至13项情形之一，“资产支持证券持有人大会”决议宣布发生“加速清偿事件”。</w:t>
            </w:r>
          </w:p>
        </w:tc>
        <w:tc>
          <w:tcPr>
            <w:tcW w:w="540"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p>
        </w:tc>
        <w:tc>
          <w:tcPr>
            <w:tcW w:w="49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hint="eastAsia" w:eastAsia="楷体_GB2312"/>
              </w:rPr>
              <w:t>否</w:t>
            </w:r>
          </w:p>
        </w:tc>
      </w:tr>
      <w:tr>
        <w:tblPrEx>
          <w:tblLayout w:type="fixed"/>
          <w:tblCellMar>
            <w:top w:w="0" w:type="dxa"/>
            <w:left w:w="108" w:type="dxa"/>
            <w:bottom w:w="0" w:type="dxa"/>
            <w:right w:w="108" w:type="dxa"/>
          </w:tblCellMar>
        </w:tblPrEx>
        <w:tc>
          <w:tcPr>
            <w:tcW w:w="7488" w:type="dxa"/>
            <w:gridSpan w:val="2"/>
            <w:tcBorders>
              <w:top w:val="single" w:color="auto" w:sz="4" w:space="0"/>
              <w:left w:val="single" w:color="auto" w:sz="4" w:space="0"/>
              <w:bottom w:val="single" w:color="auto" w:sz="4" w:space="0"/>
              <w:right w:val="single" w:color="auto" w:sz="4" w:space="0"/>
            </w:tcBorders>
          </w:tcPr>
          <w:p>
            <w:pPr>
              <w:spacing w:line="380" w:lineRule="exact"/>
              <w:rPr>
                <w:rFonts w:eastAsia="楷体_GB2312"/>
                <w:b/>
                <w:sz w:val="18"/>
              </w:rPr>
            </w:pPr>
            <w:r>
              <w:rPr>
                <w:rFonts w:eastAsia="楷体_GB2312"/>
                <w:b/>
                <w:sz w:val="24"/>
              </w:rPr>
              <w:t>加速清偿中止，并恢复正常现金流分配机制</w:t>
            </w:r>
          </w:p>
        </w:tc>
        <w:tc>
          <w:tcPr>
            <w:tcW w:w="540" w:type="dxa"/>
            <w:tcBorders>
              <w:top w:val="single" w:color="auto" w:sz="4" w:space="0"/>
              <w:left w:val="single" w:color="auto" w:sz="4" w:space="0"/>
              <w:bottom w:val="single" w:color="auto" w:sz="4" w:space="0"/>
              <w:right w:val="single" w:color="auto" w:sz="4" w:space="0"/>
            </w:tcBorders>
          </w:tcPr>
          <w:p>
            <w:pPr>
              <w:spacing w:before="50" w:after="50" w:line="360" w:lineRule="auto"/>
              <w:jc w:val="center"/>
              <w:rPr>
                <w:rFonts w:eastAsia="楷体_GB2312"/>
                <w:sz w:val="18"/>
              </w:rPr>
            </w:pPr>
            <w:r>
              <w:rPr>
                <w:rFonts w:eastAsia="楷体_GB2312"/>
                <w:sz w:val="18"/>
              </w:rPr>
              <w:t>是</w:t>
            </w:r>
          </w:p>
        </w:tc>
        <w:tc>
          <w:tcPr>
            <w:tcW w:w="494" w:type="dxa"/>
            <w:tcBorders>
              <w:top w:val="single" w:color="auto" w:sz="4" w:space="0"/>
              <w:left w:val="single" w:color="auto" w:sz="4" w:space="0"/>
              <w:bottom w:val="single" w:color="auto" w:sz="4" w:space="0"/>
              <w:right w:val="single" w:color="auto" w:sz="4" w:space="0"/>
            </w:tcBorders>
          </w:tcPr>
          <w:p>
            <w:pPr>
              <w:spacing w:before="50" w:after="50" w:line="360" w:lineRule="auto"/>
              <w:rPr>
                <w:rFonts w:eastAsia="楷体_GB2312"/>
                <w:sz w:val="18"/>
              </w:rPr>
            </w:pPr>
            <w:r>
              <w:rPr>
                <w:rFonts w:eastAsia="楷体_GB2312"/>
                <w:sz w:val="18"/>
              </w:rPr>
              <w:t>否</w:t>
            </w:r>
          </w:p>
        </w:tc>
      </w:tr>
      <w:tr>
        <w:tblPrEx>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p>
        </w:tc>
        <w:tc>
          <w:tcPr>
            <w:tcW w:w="695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eastAsia="楷体_GB2312"/>
                <w:kern w:val="0"/>
              </w:rPr>
              <w:t>若“加速清偿事件”仅仅由于“严重拖欠率”而被触发后，则可以因“严重拖欠率”好转并低于触发水平，而在对当期回收现金流进行分配时中止现金流加速分配机制并恢复正常现金流分配顺序。</w:t>
            </w:r>
          </w:p>
        </w:tc>
        <w:tc>
          <w:tcPr>
            <w:tcW w:w="540"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p>
        </w:tc>
        <w:tc>
          <w:tcPr>
            <w:tcW w:w="494" w:type="dxa"/>
            <w:tcBorders>
              <w:top w:val="single" w:color="auto" w:sz="4" w:space="0"/>
              <w:left w:val="single" w:color="auto" w:sz="4" w:space="0"/>
              <w:bottom w:val="single" w:color="auto" w:sz="4" w:space="0"/>
              <w:right w:val="single" w:color="auto" w:sz="4" w:space="0"/>
            </w:tcBorders>
          </w:tcPr>
          <w:p>
            <w:pPr>
              <w:spacing w:line="360" w:lineRule="exact"/>
              <w:rPr>
                <w:rFonts w:eastAsia="楷体_GB2312"/>
                <w:kern w:val="0"/>
              </w:rPr>
            </w:pPr>
            <w:r>
              <w:rPr>
                <w:rFonts w:hint="eastAsia" w:eastAsia="楷体_GB2312"/>
              </w:rPr>
              <w:t>否</w:t>
            </w:r>
          </w:p>
        </w:tc>
      </w:tr>
      <w:tr>
        <w:tblPrEx>
          <w:tblLayout w:type="fixed"/>
          <w:tblCellMar>
            <w:top w:w="0" w:type="dxa"/>
            <w:left w:w="108" w:type="dxa"/>
            <w:bottom w:w="0" w:type="dxa"/>
            <w:right w:w="108" w:type="dxa"/>
          </w:tblCellMar>
        </w:tblPrEx>
        <w:tc>
          <w:tcPr>
            <w:tcW w:w="534" w:type="dxa"/>
            <w:tcBorders>
              <w:top w:val="single" w:color="auto" w:sz="4" w:space="0"/>
            </w:tcBorders>
          </w:tcPr>
          <w:p>
            <w:pPr>
              <w:spacing w:line="360" w:lineRule="exact"/>
              <w:rPr>
                <w:rFonts w:eastAsia="楷体_GB2312"/>
                <w:sz w:val="24"/>
              </w:rPr>
            </w:pPr>
          </w:p>
        </w:tc>
        <w:tc>
          <w:tcPr>
            <w:tcW w:w="6954" w:type="dxa"/>
            <w:tcBorders>
              <w:top w:val="single" w:color="auto" w:sz="4" w:space="0"/>
            </w:tcBorders>
          </w:tcPr>
          <w:p>
            <w:pPr>
              <w:spacing w:line="360" w:lineRule="exact"/>
              <w:rPr>
                <w:rFonts w:eastAsia="楷体_GB2312"/>
                <w:sz w:val="24"/>
              </w:rPr>
            </w:pPr>
            <w:r>
              <w:rPr>
                <w:rFonts w:eastAsia="楷体_GB2312"/>
                <w:sz w:val="24"/>
              </w:rPr>
              <w:t>贷款服务机构公章或业务管理部门章</w:t>
            </w:r>
          </w:p>
        </w:tc>
        <w:tc>
          <w:tcPr>
            <w:tcW w:w="540" w:type="dxa"/>
            <w:tcBorders>
              <w:top w:val="single" w:color="auto" w:sz="4" w:space="0"/>
            </w:tcBorders>
          </w:tcPr>
          <w:p>
            <w:pPr>
              <w:spacing w:line="380" w:lineRule="exact"/>
              <w:rPr>
                <w:rFonts w:eastAsia="楷体_GB2312"/>
                <w:sz w:val="24"/>
              </w:rPr>
            </w:pPr>
          </w:p>
        </w:tc>
        <w:tc>
          <w:tcPr>
            <w:tcW w:w="494" w:type="dxa"/>
            <w:tcBorders>
              <w:top w:val="single" w:color="auto" w:sz="4" w:space="0"/>
            </w:tcBorders>
          </w:tcPr>
          <w:p>
            <w:pPr>
              <w:spacing w:line="380" w:lineRule="exact"/>
              <w:rPr>
                <w:rFonts w:eastAsia="楷体_GB2312"/>
                <w:sz w:val="24"/>
              </w:rPr>
            </w:pPr>
          </w:p>
        </w:tc>
      </w:tr>
    </w:tbl>
    <w:p>
      <w:pPr>
        <w:spacing w:line="40" w:lineRule="exact"/>
        <w:rPr>
          <w:rFonts w:eastAsia="楷体_GB2312"/>
          <w:sz w:val="24"/>
        </w:rPr>
      </w:pPr>
      <w:r>
        <w:rPr>
          <w:rFonts w:eastAsia="楷体_GB2312"/>
          <w:b/>
          <w:sz w:val="24"/>
          <w:u w:val="single"/>
        </w:rPr>
        <w:br w:type="page"/>
      </w:r>
    </w:p>
    <w:tbl>
      <w:tblPr>
        <w:tblStyle w:val="17"/>
        <w:tblW w:w="8472" w:type="dxa"/>
        <w:jc w:val="center"/>
        <w:tblInd w:w="0" w:type="dxa"/>
        <w:tblLayout w:type="fixed"/>
        <w:tblCellMar>
          <w:top w:w="0" w:type="dxa"/>
          <w:left w:w="108" w:type="dxa"/>
          <w:bottom w:w="0" w:type="dxa"/>
          <w:right w:w="108" w:type="dxa"/>
        </w:tblCellMar>
      </w:tblPr>
      <w:tblGrid>
        <w:gridCol w:w="2235"/>
        <w:gridCol w:w="1534"/>
        <w:gridCol w:w="1417"/>
        <w:gridCol w:w="1843"/>
        <w:gridCol w:w="1443"/>
      </w:tblGrid>
      <w:tr>
        <w:tblPrEx>
          <w:tblLayout w:type="fixed"/>
        </w:tblPrEx>
        <w:trPr>
          <w:jc w:val="center"/>
        </w:trPr>
        <w:tc>
          <w:tcPr>
            <w:tcW w:w="8472" w:type="dxa"/>
            <w:gridSpan w:val="5"/>
          </w:tcPr>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rPr>
          <w:jc w:val="center"/>
        </w:trPr>
        <w:tc>
          <w:tcPr>
            <w:tcW w:w="8472" w:type="dxa"/>
            <w:gridSpan w:val="5"/>
            <w:tcBorders>
              <w:bottom w:val="single" w:color="auto" w:sz="4" w:space="0"/>
            </w:tcBorders>
          </w:tcPr>
          <w:p>
            <w:pPr>
              <w:spacing w:line="380" w:lineRule="exact"/>
              <w:jc w:val="center"/>
              <w:rPr>
                <w:rFonts w:eastAsia="楷体_GB2312"/>
                <w:b/>
                <w:color w:val="000000"/>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rPr>
          <w:jc w:val="center"/>
        </w:trPr>
        <w:tc>
          <w:tcPr>
            <w:tcW w:w="8472" w:type="dxa"/>
            <w:gridSpan w:val="5"/>
            <w:tcBorders>
              <w:top w:val="single" w:color="auto" w:sz="4" w:space="0"/>
              <w:left w:val="single" w:color="auto" w:sz="4" w:space="0"/>
              <w:bottom w:val="single" w:color="auto" w:sz="4" w:space="0"/>
              <w:right w:val="single" w:color="auto" w:sz="4" w:space="0"/>
            </w:tcBorders>
            <w:shd w:val="clear" w:color="auto" w:fill="D9D9D9"/>
          </w:tcPr>
          <w:p>
            <w:pPr>
              <w:spacing w:line="380" w:lineRule="exact"/>
              <w:rPr>
                <w:rFonts w:eastAsia="楷体_GB2312"/>
                <w:sz w:val="24"/>
              </w:rPr>
            </w:pPr>
            <w:r>
              <w:rPr>
                <w:rFonts w:eastAsia="楷体_GB2312"/>
                <w:b/>
                <w:sz w:val="24"/>
              </w:rPr>
              <w:t>4、本收款期间资产池抵押贷款状态特征</w:t>
            </w:r>
          </w:p>
        </w:tc>
      </w:tr>
      <w:tr>
        <w:tblPrEx>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b/>
                <w:sz w:val="24"/>
              </w:rPr>
              <w:t>抵押贷款状态</w:t>
            </w:r>
          </w:p>
        </w:tc>
        <w:tc>
          <w:tcPr>
            <w:tcW w:w="1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收款期间截至日抵押贷款笔数</w:t>
            </w:r>
          </w:p>
        </w:tc>
        <w:tc>
          <w:tcPr>
            <w:tcW w:w="1417"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占期末资产池抵押贷款笔数百分比</w:t>
            </w:r>
          </w:p>
        </w:tc>
        <w:tc>
          <w:tcPr>
            <w:tcW w:w="1843"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本金余额</w:t>
            </w:r>
          </w:p>
        </w:tc>
        <w:tc>
          <w:tcPr>
            <w:tcW w:w="1443"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占期末资产池抵押贷款余额百分比</w:t>
            </w:r>
          </w:p>
        </w:tc>
      </w:tr>
      <w:tr>
        <w:tblPrEx>
          <w:tblLayout w:type="fixed"/>
          <w:tblCellMar>
            <w:top w:w="0" w:type="dxa"/>
            <w:left w:w="108" w:type="dxa"/>
            <w:bottom w:w="0" w:type="dxa"/>
            <w:right w:w="108" w:type="dxa"/>
          </w:tblCellMar>
        </w:tblPrEx>
        <w:trPr>
          <w:trHeight w:val="405" w:hRule="atLeast"/>
          <w:jc w:val="center"/>
        </w:trPr>
        <w:tc>
          <w:tcPr>
            <w:tcW w:w="223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rPr>
            </w:pPr>
            <w:r>
              <w:rPr>
                <w:rFonts w:eastAsia="楷体_GB2312"/>
              </w:rPr>
              <w:t>正常</w:t>
            </w:r>
          </w:p>
        </w:tc>
        <w:tc>
          <w:tcPr>
            <w:tcW w:w="153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3,871</w:t>
            </w:r>
          </w:p>
        </w:tc>
        <w:tc>
          <w:tcPr>
            <w:tcW w:w="1417"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99.64%</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1,388,183,589.52</w:t>
            </w:r>
          </w:p>
        </w:tc>
        <w:tc>
          <w:tcPr>
            <w:tcW w:w="14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99.48%</w:t>
            </w:r>
          </w:p>
        </w:tc>
      </w:tr>
      <w:tr>
        <w:tblPrEx>
          <w:tblLayout w:type="fixed"/>
          <w:tblCellMar>
            <w:top w:w="0" w:type="dxa"/>
            <w:left w:w="108" w:type="dxa"/>
            <w:bottom w:w="0" w:type="dxa"/>
            <w:right w:w="108" w:type="dxa"/>
          </w:tblCellMar>
        </w:tblPrEx>
        <w:trPr>
          <w:trHeight w:val="450" w:hRule="atLeast"/>
          <w:jc w:val="center"/>
        </w:trPr>
        <w:tc>
          <w:tcPr>
            <w:tcW w:w="223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逾期1至30天</w:t>
            </w:r>
          </w:p>
        </w:tc>
        <w:tc>
          <w:tcPr>
            <w:tcW w:w="153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11</w:t>
            </w:r>
          </w:p>
        </w:tc>
        <w:tc>
          <w:tcPr>
            <w:tcW w:w="1417"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0.28%</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5,551,856.70</w:t>
            </w:r>
          </w:p>
        </w:tc>
        <w:tc>
          <w:tcPr>
            <w:tcW w:w="14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0.40%</w:t>
            </w:r>
          </w:p>
        </w:tc>
      </w:tr>
      <w:tr>
        <w:tblPrEx>
          <w:tblLayout w:type="fixed"/>
          <w:tblCellMar>
            <w:top w:w="0" w:type="dxa"/>
            <w:left w:w="108" w:type="dxa"/>
            <w:bottom w:w="0" w:type="dxa"/>
            <w:right w:w="108" w:type="dxa"/>
          </w:tblCellMar>
        </w:tblPrEx>
        <w:trPr>
          <w:trHeight w:val="450" w:hRule="atLeast"/>
          <w:jc w:val="center"/>
        </w:trPr>
        <w:tc>
          <w:tcPr>
            <w:tcW w:w="223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逾期31至60天</w:t>
            </w:r>
          </w:p>
        </w:tc>
        <w:tc>
          <w:tcPr>
            <w:tcW w:w="153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1</w:t>
            </w:r>
          </w:p>
        </w:tc>
        <w:tc>
          <w:tcPr>
            <w:tcW w:w="1417"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0.03%</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311,966.40</w:t>
            </w:r>
          </w:p>
        </w:tc>
        <w:tc>
          <w:tcPr>
            <w:tcW w:w="14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0.02%</w:t>
            </w:r>
          </w:p>
        </w:tc>
      </w:tr>
      <w:tr>
        <w:tblPrEx>
          <w:tblLayout w:type="fixed"/>
          <w:tblCellMar>
            <w:top w:w="0" w:type="dxa"/>
            <w:left w:w="108" w:type="dxa"/>
            <w:bottom w:w="0" w:type="dxa"/>
            <w:right w:w="108" w:type="dxa"/>
          </w:tblCellMar>
        </w:tblPrEx>
        <w:trPr>
          <w:trHeight w:val="345" w:hRule="atLeast"/>
          <w:jc w:val="center"/>
        </w:trPr>
        <w:tc>
          <w:tcPr>
            <w:tcW w:w="223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逾期61至90天</w:t>
            </w:r>
          </w:p>
        </w:tc>
        <w:tc>
          <w:tcPr>
            <w:tcW w:w="153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w:t>
            </w:r>
          </w:p>
        </w:tc>
        <w:tc>
          <w:tcPr>
            <w:tcW w:w="1417"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0.00%</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0.00</w:t>
            </w:r>
          </w:p>
        </w:tc>
        <w:tc>
          <w:tcPr>
            <w:tcW w:w="14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0.00%</w:t>
            </w:r>
          </w:p>
        </w:tc>
      </w:tr>
      <w:tr>
        <w:tblPrEx>
          <w:tblLayout w:type="fixed"/>
          <w:tblCellMar>
            <w:top w:w="0" w:type="dxa"/>
            <w:left w:w="108" w:type="dxa"/>
            <w:bottom w:w="0" w:type="dxa"/>
            <w:right w:w="108" w:type="dxa"/>
          </w:tblCellMar>
        </w:tblPrEx>
        <w:trPr>
          <w:trHeight w:val="451" w:hRule="atLeast"/>
          <w:jc w:val="center"/>
        </w:trPr>
        <w:tc>
          <w:tcPr>
            <w:tcW w:w="223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逾期90天以上</w:t>
            </w:r>
          </w:p>
        </w:tc>
        <w:tc>
          <w:tcPr>
            <w:tcW w:w="153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2</w:t>
            </w:r>
          </w:p>
        </w:tc>
        <w:tc>
          <w:tcPr>
            <w:tcW w:w="1417"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0.05%</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1,324,575.88</w:t>
            </w:r>
          </w:p>
        </w:tc>
        <w:tc>
          <w:tcPr>
            <w:tcW w:w="14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0.09%</w:t>
            </w:r>
          </w:p>
        </w:tc>
      </w:tr>
      <w:tr>
        <w:tblPrEx>
          <w:tblLayout w:type="fixed"/>
          <w:tblCellMar>
            <w:top w:w="0" w:type="dxa"/>
            <w:left w:w="108" w:type="dxa"/>
            <w:bottom w:w="0" w:type="dxa"/>
            <w:right w:w="108" w:type="dxa"/>
          </w:tblCellMar>
        </w:tblPrEx>
        <w:trPr>
          <w:trHeight w:val="451" w:hRule="atLeast"/>
          <w:jc w:val="center"/>
        </w:trPr>
        <w:tc>
          <w:tcPr>
            <w:tcW w:w="223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回购或替换贷款</w:t>
            </w:r>
          </w:p>
        </w:tc>
        <w:tc>
          <w:tcPr>
            <w:tcW w:w="153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w:t>
            </w:r>
          </w:p>
        </w:tc>
        <w:tc>
          <w:tcPr>
            <w:tcW w:w="1417"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w:t>
            </w:r>
          </w:p>
        </w:tc>
        <w:tc>
          <w:tcPr>
            <w:tcW w:w="14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w:t>
            </w:r>
          </w:p>
        </w:tc>
      </w:tr>
      <w:tr>
        <w:tblPrEx>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rPr>
            </w:pPr>
            <w:r>
              <w:rPr>
                <w:rFonts w:eastAsia="楷体_GB2312"/>
                <w:b/>
              </w:rPr>
              <w:t>合计</w:t>
            </w:r>
          </w:p>
        </w:tc>
        <w:tc>
          <w:tcPr>
            <w:tcW w:w="153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3,885</w:t>
            </w:r>
          </w:p>
        </w:tc>
        <w:tc>
          <w:tcPr>
            <w:tcW w:w="1417"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100.00%</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1,395,371,988.50</w:t>
            </w:r>
          </w:p>
        </w:tc>
        <w:tc>
          <w:tcPr>
            <w:tcW w:w="144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100.00%</w:t>
            </w:r>
          </w:p>
        </w:tc>
      </w:tr>
      <w:tr>
        <w:tblPrEx>
          <w:tblLayout w:type="fixed"/>
          <w:tblCellMar>
            <w:top w:w="0" w:type="dxa"/>
            <w:left w:w="108" w:type="dxa"/>
            <w:bottom w:w="0" w:type="dxa"/>
            <w:right w:w="108" w:type="dxa"/>
          </w:tblCellMar>
        </w:tblPrEx>
        <w:trPr>
          <w:jc w:val="center"/>
        </w:trPr>
        <w:tc>
          <w:tcPr>
            <w:tcW w:w="2235" w:type="dxa"/>
            <w:vMerge w:val="restart"/>
            <w:tcBorders>
              <w:top w:val="single" w:color="auto" w:sz="4" w:space="0"/>
            </w:tcBorders>
          </w:tcPr>
          <w:p>
            <w:pPr>
              <w:spacing w:line="380" w:lineRule="exact"/>
              <w:jc w:val="right"/>
              <w:rPr>
                <w:rFonts w:eastAsia="楷体_GB2312"/>
              </w:rPr>
            </w:pPr>
            <w:r>
              <w:rPr>
                <w:rFonts w:eastAsia="楷体_GB2312"/>
              </w:rPr>
              <w:t>说明：</w:t>
            </w:r>
          </w:p>
        </w:tc>
        <w:tc>
          <w:tcPr>
            <w:tcW w:w="6237" w:type="dxa"/>
            <w:gridSpan w:val="4"/>
            <w:tcBorders>
              <w:top w:val="single" w:color="auto" w:sz="4" w:space="0"/>
            </w:tcBorders>
          </w:tcPr>
          <w:p>
            <w:pPr>
              <w:spacing w:line="380" w:lineRule="exact"/>
              <w:rPr>
                <w:rFonts w:eastAsia="楷体_GB2312"/>
              </w:rPr>
            </w:pPr>
            <w:r>
              <w:rPr>
                <w:rFonts w:eastAsia="楷体_GB2312"/>
              </w:rPr>
              <w:t>1.本表中“抵押贷款笔数”指贷款合同个数；</w:t>
            </w:r>
          </w:p>
        </w:tc>
      </w:tr>
      <w:tr>
        <w:tblPrEx>
          <w:tblLayout w:type="fixed"/>
          <w:tblCellMar>
            <w:top w:w="0" w:type="dxa"/>
            <w:left w:w="108" w:type="dxa"/>
            <w:bottom w:w="0" w:type="dxa"/>
            <w:right w:w="108" w:type="dxa"/>
          </w:tblCellMar>
        </w:tblPrEx>
        <w:trPr>
          <w:jc w:val="center"/>
        </w:trPr>
        <w:tc>
          <w:tcPr>
            <w:tcW w:w="2235" w:type="dxa"/>
            <w:vMerge w:val="continue"/>
          </w:tcPr>
          <w:p>
            <w:pPr>
              <w:spacing w:line="380" w:lineRule="exact"/>
              <w:rPr>
                <w:rFonts w:eastAsia="楷体_GB2312"/>
              </w:rPr>
            </w:pPr>
          </w:p>
        </w:tc>
        <w:tc>
          <w:tcPr>
            <w:tcW w:w="6237" w:type="dxa"/>
            <w:gridSpan w:val="4"/>
          </w:tcPr>
          <w:p>
            <w:pPr>
              <w:spacing w:line="380" w:lineRule="exact"/>
              <w:rPr>
                <w:rFonts w:eastAsia="楷体_GB2312"/>
              </w:rPr>
            </w:pPr>
            <w:r>
              <w:rPr>
                <w:rFonts w:eastAsia="楷体_GB2312"/>
              </w:rPr>
              <w:t>2.本表中金额的单位为人民币元。</w:t>
            </w:r>
          </w:p>
        </w:tc>
      </w:tr>
      <w:tr>
        <w:tblPrEx>
          <w:tblLayout w:type="fixed"/>
          <w:tblCellMar>
            <w:top w:w="0" w:type="dxa"/>
            <w:left w:w="108" w:type="dxa"/>
            <w:bottom w:w="0" w:type="dxa"/>
            <w:right w:w="108" w:type="dxa"/>
          </w:tblCellMar>
        </w:tblPrEx>
        <w:trPr>
          <w:jc w:val="center"/>
        </w:trPr>
        <w:tc>
          <w:tcPr>
            <w:tcW w:w="8472" w:type="dxa"/>
            <w:gridSpan w:val="5"/>
          </w:tcPr>
          <w:p>
            <w:pPr>
              <w:spacing w:line="380" w:lineRule="exact"/>
              <w:rPr>
                <w:rFonts w:eastAsia="楷体_GB2312"/>
                <w:sz w:val="24"/>
              </w:rPr>
            </w:pPr>
            <w:r>
              <w:rPr>
                <w:rFonts w:eastAsia="楷体_GB2312"/>
                <w:sz w:val="24"/>
              </w:rPr>
              <w:t>贷款服务机构公章或业务管理部门章</w:t>
            </w:r>
          </w:p>
        </w:tc>
      </w:tr>
    </w:tbl>
    <w:p>
      <w:pPr>
        <w:spacing w:line="380" w:lineRule="exact"/>
        <w:rPr>
          <w:rFonts w:eastAsia="楷体_GB2312"/>
          <w:sz w:val="24"/>
        </w:rPr>
      </w:pPr>
    </w:p>
    <w:p>
      <w:pPr>
        <w:spacing w:line="380" w:lineRule="exact"/>
        <w:rPr>
          <w:rFonts w:eastAsia="楷体_GB2312"/>
          <w:sz w:val="24"/>
        </w:rPr>
      </w:pPr>
      <w:r>
        <w:rPr>
          <w:rFonts w:eastAsia="楷体_GB2312"/>
          <w:sz w:val="24"/>
        </w:rPr>
        <w:br w:type="page"/>
      </w:r>
    </w:p>
    <w:p>
      <w:pPr>
        <w:spacing w:line="380" w:lineRule="exact"/>
        <w:rPr>
          <w:rFonts w:eastAsia="楷体_GB2312"/>
          <w:sz w:val="24"/>
        </w:rPr>
      </w:pPr>
    </w:p>
    <w:tbl>
      <w:tblPr>
        <w:tblStyle w:val="17"/>
        <w:tblW w:w="8755" w:type="dxa"/>
        <w:jc w:val="center"/>
        <w:tblInd w:w="0" w:type="dxa"/>
        <w:tblLayout w:type="fixed"/>
        <w:tblCellMar>
          <w:top w:w="0" w:type="dxa"/>
          <w:left w:w="108" w:type="dxa"/>
          <w:bottom w:w="0" w:type="dxa"/>
          <w:right w:w="108" w:type="dxa"/>
        </w:tblCellMar>
      </w:tblPr>
      <w:tblGrid>
        <w:gridCol w:w="2493"/>
        <w:gridCol w:w="1507"/>
        <w:gridCol w:w="1495"/>
        <w:gridCol w:w="1534"/>
        <w:gridCol w:w="1726"/>
      </w:tblGrid>
      <w:tr>
        <w:tblPrEx>
          <w:tblLayout w:type="fixed"/>
          <w:tblCellMar>
            <w:top w:w="0" w:type="dxa"/>
            <w:left w:w="108" w:type="dxa"/>
            <w:bottom w:w="0" w:type="dxa"/>
            <w:right w:w="108" w:type="dxa"/>
          </w:tblCellMar>
        </w:tblPrEx>
        <w:trPr>
          <w:jc w:val="center"/>
        </w:trPr>
        <w:tc>
          <w:tcPr>
            <w:tcW w:w="8755" w:type="dxa"/>
            <w:gridSpan w:val="5"/>
          </w:tcPr>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rPr>
          <w:trHeight w:val="80" w:hRule="atLeast"/>
          <w:jc w:val="center"/>
        </w:trPr>
        <w:tc>
          <w:tcPr>
            <w:tcW w:w="8755" w:type="dxa"/>
            <w:gridSpan w:val="5"/>
            <w:tcBorders>
              <w:bottom w:val="single" w:color="auto" w:sz="4" w:space="0"/>
            </w:tcBorders>
          </w:tcPr>
          <w:p>
            <w:pPr>
              <w:spacing w:line="380" w:lineRule="exact"/>
              <w:jc w:val="center"/>
              <w:rPr>
                <w:rFonts w:eastAsia="楷体_GB2312"/>
                <w:color w:val="000000"/>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rPr>
          <w:jc w:val="center"/>
        </w:trPr>
        <w:tc>
          <w:tcPr>
            <w:tcW w:w="8755" w:type="dxa"/>
            <w:gridSpan w:val="5"/>
            <w:tcBorders>
              <w:top w:val="single" w:color="auto" w:sz="4" w:space="0"/>
              <w:left w:val="single" w:color="auto" w:sz="4" w:space="0"/>
              <w:bottom w:val="single" w:color="auto" w:sz="4" w:space="0"/>
              <w:right w:val="single" w:color="auto" w:sz="4" w:space="0"/>
            </w:tcBorders>
            <w:shd w:val="clear" w:color="auto" w:fill="D9D9D9"/>
          </w:tcPr>
          <w:p>
            <w:pPr>
              <w:spacing w:line="380" w:lineRule="exact"/>
              <w:rPr>
                <w:rFonts w:eastAsia="楷体_GB2312"/>
                <w:sz w:val="24"/>
              </w:rPr>
            </w:pPr>
            <w:r>
              <w:rPr>
                <w:rFonts w:eastAsia="楷体_GB2312"/>
                <w:b/>
                <w:sz w:val="24"/>
              </w:rPr>
              <w:t>5、不合格资产的赎回与替换</w:t>
            </w:r>
          </w:p>
        </w:tc>
      </w:tr>
      <w:tr>
        <w:tblPrEx>
          <w:tblLayout w:type="fixed"/>
          <w:tblCellMar>
            <w:top w:w="0" w:type="dxa"/>
            <w:left w:w="108" w:type="dxa"/>
            <w:bottom w:w="0" w:type="dxa"/>
            <w:right w:w="108" w:type="dxa"/>
          </w:tblCellMar>
        </w:tblPrEx>
        <w:trPr>
          <w:jc w:val="center"/>
        </w:trPr>
        <w:tc>
          <w:tcPr>
            <w:tcW w:w="2493"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赎回抵押贷款的借款人名称</w:t>
            </w:r>
          </w:p>
        </w:tc>
        <w:tc>
          <w:tcPr>
            <w:tcW w:w="1507"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赎回时间</w:t>
            </w:r>
          </w:p>
        </w:tc>
        <w:tc>
          <w:tcPr>
            <w:tcW w:w="149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赎回抵押贷款的未偿本金余额</w:t>
            </w:r>
          </w:p>
        </w:tc>
        <w:tc>
          <w:tcPr>
            <w:tcW w:w="1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赎回价格</w:t>
            </w:r>
          </w:p>
        </w:tc>
        <w:tc>
          <w:tcPr>
            <w:tcW w:w="1726"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赎回原因</w:t>
            </w:r>
          </w:p>
        </w:tc>
      </w:tr>
      <w:tr>
        <w:tblPrEx>
          <w:tblLayout w:type="fixed"/>
          <w:tblCellMar>
            <w:top w:w="0" w:type="dxa"/>
            <w:left w:w="108" w:type="dxa"/>
            <w:bottom w:w="0" w:type="dxa"/>
            <w:right w:w="108" w:type="dxa"/>
          </w:tblCellMar>
        </w:tblPrEx>
        <w:trPr>
          <w:trHeight w:val="472" w:hRule="atLeast"/>
          <w:jc w:val="center"/>
        </w:trPr>
        <w:tc>
          <w:tcPr>
            <w:tcW w:w="2493"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无</w:t>
            </w:r>
          </w:p>
        </w:tc>
        <w:tc>
          <w:tcPr>
            <w:tcW w:w="1507"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w:t>
            </w:r>
          </w:p>
        </w:tc>
        <w:tc>
          <w:tcPr>
            <w:tcW w:w="1495"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w:t>
            </w:r>
          </w:p>
        </w:tc>
        <w:tc>
          <w:tcPr>
            <w:tcW w:w="153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w:t>
            </w:r>
          </w:p>
        </w:tc>
        <w:tc>
          <w:tcPr>
            <w:tcW w:w="1726"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w:t>
            </w:r>
          </w:p>
        </w:tc>
      </w:tr>
      <w:tr>
        <w:tblPrEx>
          <w:tblLayout w:type="fixed"/>
          <w:tblCellMar>
            <w:top w:w="0" w:type="dxa"/>
            <w:left w:w="108" w:type="dxa"/>
            <w:bottom w:w="0" w:type="dxa"/>
            <w:right w:w="108" w:type="dxa"/>
          </w:tblCellMar>
        </w:tblPrEx>
        <w:trPr>
          <w:jc w:val="center"/>
        </w:trPr>
        <w:tc>
          <w:tcPr>
            <w:tcW w:w="2493"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rPr>
            </w:pPr>
            <w:r>
              <w:rPr>
                <w:rFonts w:eastAsia="楷体_GB2312"/>
                <w:b/>
              </w:rPr>
              <w:t>合计</w:t>
            </w:r>
          </w:p>
        </w:tc>
        <w:tc>
          <w:tcPr>
            <w:tcW w:w="1507"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w:t>
            </w:r>
          </w:p>
        </w:tc>
        <w:tc>
          <w:tcPr>
            <w:tcW w:w="1495"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w:t>
            </w:r>
          </w:p>
        </w:tc>
        <w:tc>
          <w:tcPr>
            <w:tcW w:w="153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w:t>
            </w:r>
          </w:p>
        </w:tc>
        <w:tc>
          <w:tcPr>
            <w:tcW w:w="1726"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w:t>
            </w:r>
          </w:p>
        </w:tc>
      </w:tr>
      <w:tr>
        <w:tblPrEx>
          <w:tblLayout w:type="fixed"/>
          <w:tblCellMar>
            <w:top w:w="0" w:type="dxa"/>
            <w:left w:w="108" w:type="dxa"/>
            <w:bottom w:w="0" w:type="dxa"/>
            <w:right w:w="108" w:type="dxa"/>
          </w:tblCellMar>
        </w:tblPrEx>
        <w:trPr>
          <w:jc w:val="center"/>
        </w:trPr>
        <w:tc>
          <w:tcPr>
            <w:tcW w:w="2493"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替换抵押贷款的借款人名称</w:t>
            </w:r>
          </w:p>
        </w:tc>
        <w:tc>
          <w:tcPr>
            <w:tcW w:w="1507"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替换时间</w:t>
            </w:r>
          </w:p>
        </w:tc>
        <w:tc>
          <w:tcPr>
            <w:tcW w:w="1495"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替换抵押贷款的未偿本金余额</w:t>
            </w:r>
          </w:p>
        </w:tc>
        <w:tc>
          <w:tcPr>
            <w:tcW w:w="153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换入抵押贷款的未偿本金余额</w:t>
            </w:r>
          </w:p>
        </w:tc>
        <w:tc>
          <w:tcPr>
            <w:tcW w:w="1726"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替换原因</w:t>
            </w:r>
          </w:p>
        </w:tc>
      </w:tr>
      <w:tr>
        <w:tblPrEx>
          <w:tblLayout w:type="fixed"/>
          <w:tblCellMar>
            <w:top w:w="0" w:type="dxa"/>
            <w:left w:w="108" w:type="dxa"/>
            <w:bottom w:w="0" w:type="dxa"/>
            <w:right w:w="108" w:type="dxa"/>
          </w:tblCellMar>
        </w:tblPrEx>
        <w:trPr>
          <w:jc w:val="center"/>
        </w:trPr>
        <w:tc>
          <w:tcPr>
            <w:tcW w:w="2493"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无</w:t>
            </w:r>
          </w:p>
        </w:tc>
        <w:tc>
          <w:tcPr>
            <w:tcW w:w="1507"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w:t>
            </w:r>
          </w:p>
        </w:tc>
        <w:tc>
          <w:tcPr>
            <w:tcW w:w="1495"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w:t>
            </w:r>
          </w:p>
        </w:tc>
        <w:tc>
          <w:tcPr>
            <w:tcW w:w="153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w:t>
            </w:r>
          </w:p>
        </w:tc>
        <w:tc>
          <w:tcPr>
            <w:tcW w:w="1726"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rPr>
            </w:pPr>
            <w:r>
              <w:rPr>
                <w:rFonts w:hint="eastAsia" w:eastAsia="楷体_GB2312"/>
              </w:rPr>
              <w:t>—</w:t>
            </w:r>
          </w:p>
        </w:tc>
      </w:tr>
      <w:tr>
        <w:tblPrEx>
          <w:tblLayout w:type="fixed"/>
          <w:tblCellMar>
            <w:top w:w="0" w:type="dxa"/>
            <w:left w:w="108" w:type="dxa"/>
            <w:bottom w:w="0" w:type="dxa"/>
            <w:right w:w="108" w:type="dxa"/>
          </w:tblCellMar>
        </w:tblPrEx>
        <w:trPr>
          <w:jc w:val="center"/>
        </w:trPr>
        <w:tc>
          <w:tcPr>
            <w:tcW w:w="2493"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b/>
              </w:rPr>
            </w:pPr>
            <w:r>
              <w:rPr>
                <w:rFonts w:eastAsia="楷体_GB2312"/>
                <w:b/>
              </w:rPr>
              <w:t>合计</w:t>
            </w:r>
          </w:p>
        </w:tc>
        <w:tc>
          <w:tcPr>
            <w:tcW w:w="1507"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w:t>
            </w:r>
          </w:p>
        </w:tc>
        <w:tc>
          <w:tcPr>
            <w:tcW w:w="1495"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w:t>
            </w:r>
          </w:p>
        </w:tc>
        <w:tc>
          <w:tcPr>
            <w:tcW w:w="1534"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w:t>
            </w:r>
          </w:p>
        </w:tc>
        <w:tc>
          <w:tcPr>
            <w:tcW w:w="1726" w:type="dxa"/>
            <w:tcBorders>
              <w:top w:val="single" w:color="auto" w:sz="4" w:space="0"/>
              <w:left w:val="single" w:color="auto" w:sz="4" w:space="0"/>
              <w:bottom w:val="single" w:color="auto" w:sz="4" w:space="0"/>
              <w:right w:val="single" w:color="auto" w:sz="4" w:space="0"/>
            </w:tcBorders>
          </w:tcPr>
          <w:p>
            <w:pPr>
              <w:spacing w:line="380" w:lineRule="exact"/>
              <w:jc w:val="center"/>
              <w:rPr>
                <w:rFonts w:eastAsia="楷体_GB2312"/>
                <w:b/>
              </w:rPr>
            </w:pPr>
            <w:r>
              <w:rPr>
                <w:rFonts w:hint="eastAsia" w:eastAsia="楷体_GB2312"/>
              </w:rPr>
              <w:t>—</w:t>
            </w:r>
          </w:p>
        </w:tc>
      </w:tr>
      <w:tr>
        <w:tblPrEx>
          <w:tblLayout w:type="fixed"/>
          <w:tblCellMar>
            <w:top w:w="0" w:type="dxa"/>
            <w:left w:w="108" w:type="dxa"/>
            <w:bottom w:w="0" w:type="dxa"/>
            <w:right w:w="108" w:type="dxa"/>
          </w:tblCellMar>
        </w:tblPrEx>
        <w:trPr>
          <w:jc w:val="center"/>
        </w:trPr>
        <w:tc>
          <w:tcPr>
            <w:tcW w:w="2493" w:type="dxa"/>
            <w:tcBorders>
              <w:top w:val="single" w:color="auto" w:sz="4" w:space="0"/>
            </w:tcBorders>
          </w:tcPr>
          <w:p>
            <w:pPr>
              <w:spacing w:line="380" w:lineRule="exact"/>
              <w:jc w:val="right"/>
              <w:rPr>
                <w:rFonts w:eastAsia="楷体_GB2312"/>
              </w:rPr>
            </w:pPr>
            <w:r>
              <w:rPr>
                <w:rFonts w:eastAsia="楷体_GB2312"/>
              </w:rPr>
              <w:t>说明：</w:t>
            </w:r>
          </w:p>
        </w:tc>
        <w:tc>
          <w:tcPr>
            <w:tcW w:w="6262" w:type="dxa"/>
            <w:gridSpan w:val="4"/>
            <w:tcBorders>
              <w:top w:val="single" w:color="auto" w:sz="4" w:space="0"/>
            </w:tcBorders>
          </w:tcPr>
          <w:p>
            <w:pPr>
              <w:spacing w:line="380" w:lineRule="exact"/>
              <w:rPr>
                <w:rFonts w:eastAsia="楷体_GB2312"/>
              </w:rPr>
            </w:pPr>
            <w:r>
              <w:rPr>
                <w:rFonts w:eastAsia="楷体_GB2312"/>
              </w:rPr>
              <w:t>本表金额单位为人民币元</w:t>
            </w:r>
          </w:p>
        </w:tc>
      </w:tr>
      <w:tr>
        <w:tblPrEx>
          <w:tblLayout w:type="fixed"/>
          <w:tblCellMar>
            <w:top w:w="0" w:type="dxa"/>
            <w:left w:w="108" w:type="dxa"/>
            <w:bottom w:w="0" w:type="dxa"/>
            <w:right w:w="108" w:type="dxa"/>
          </w:tblCellMar>
        </w:tblPrEx>
        <w:trPr>
          <w:jc w:val="center"/>
        </w:trPr>
        <w:tc>
          <w:tcPr>
            <w:tcW w:w="8755" w:type="dxa"/>
            <w:gridSpan w:val="5"/>
          </w:tcPr>
          <w:p>
            <w:pPr>
              <w:spacing w:line="380" w:lineRule="exact"/>
              <w:rPr>
                <w:rFonts w:eastAsia="楷体_GB2312"/>
                <w:sz w:val="24"/>
              </w:rPr>
            </w:pPr>
            <w:r>
              <w:rPr>
                <w:rFonts w:eastAsia="楷体_GB2312"/>
                <w:sz w:val="24"/>
              </w:rPr>
              <w:t>贷款服务机构公章或业务管理部门章</w:t>
            </w:r>
          </w:p>
        </w:tc>
      </w:tr>
    </w:tbl>
    <w:p>
      <w:pPr>
        <w:spacing w:line="380" w:lineRule="exact"/>
        <w:rPr>
          <w:rFonts w:eastAsia="楷体_GB2312"/>
          <w:sz w:val="24"/>
        </w:rPr>
      </w:pPr>
    </w:p>
    <w:p>
      <w:pPr>
        <w:spacing w:line="380" w:lineRule="exact"/>
        <w:rPr>
          <w:rFonts w:eastAsia="楷体_GB2312"/>
          <w:sz w:val="24"/>
        </w:rPr>
      </w:pPr>
    </w:p>
    <w:p>
      <w:pPr>
        <w:spacing w:line="380" w:lineRule="exact"/>
        <w:rPr>
          <w:rFonts w:eastAsia="楷体_GB2312"/>
          <w:sz w:val="24"/>
        </w:rPr>
      </w:pPr>
      <w:r>
        <w:rPr>
          <w:rFonts w:eastAsia="楷体_GB2312"/>
          <w:sz w:val="24"/>
        </w:rPr>
        <w:br w:type="page"/>
      </w:r>
    </w:p>
    <w:tbl>
      <w:tblPr>
        <w:tblStyle w:val="17"/>
        <w:tblW w:w="8522" w:type="dxa"/>
        <w:tblInd w:w="0" w:type="dxa"/>
        <w:tblLayout w:type="fixed"/>
        <w:tblCellMar>
          <w:top w:w="0" w:type="dxa"/>
          <w:left w:w="108" w:type="dxa"/>
          <w:bottom w:w="0" w:type="dxa"/>
          <w:right w:w="108" w:type="dxa"/>
        </w:tblCellMar>
      </w:tblPr>
      <w:tblGrid>
        <w:gridCol w:w="2628"/>
        <w:gridCol w:w="1473"/>
        <w:gridCol w:w="1474"/>
        <w:gridCol w:w="1473"/>
        <w:gridCol w:w="1474"/>
      </w:tblGrid>
      <w:tr>
        <w:tblPrEx>
          <w:tblLayout w:type="fixed"/>
          <w:tblCellMar>
            <w:top w:w="0" w:type="dxa"/>
            <w:left w:w="108" w:type="dxa"/>
            <w:bottom w:w="0" w:type="dxa"/>
            <w:right w:w="108" w:type="dxa"/>
          </w:tblCellMar>
        </w:tblPrEx>
        <w:tc>
          <w:tcPr>
            <w:tcW w:w="8522" w:type="dxa"/>
            <w:gridSpan w:val="5"/>
          </w:tcPr>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c>
          <w:tcPr>
            <w:tcW w:w="8522" w:type="dxa"/>
            <w:gridSpan w:val="5"/>
            <w:tcBorders>
              <w:bottom w:val="single" w:color="auto" w:sz="4" w:space="0"/>
            </w:tcBorders>
          </w:tcPr>
          <w:p>
            <w:pPr>
              <w:spacing w:line="380" w:lineRule="exact"/>
              <w:jc w:val="center"/>
              <w:rPr>
                <w:rFonts w:eastAsia="楷体_GB2312"/>
                <w:color w:val="000000"/>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D9D9D9"/>
          </w:tcPr>
          <w:p>
            <w:pPr>
              <w:spacing w:line="380" w:lineRule="exact"/>
              <w:rPr>
                <w:rFonts w:eastAsia="楷体_GB2312"/>
                <w:sz w:val="24"/>
              </w:rPr>
            </w:pPr>
            <w:r>
              <w:rPr>
                <w:rFonts w:eastAsia="楷体_GB2312"/>
                <w:b/>
                <w:sz w:val="24"/>
              </w:rPr>
              <w:t>6、违约贷款在本收款期间期末所处的处置状态</w:t>
            </w:r>
          </w:p>
        </w:tc>
      </w:tr>
      <w:tr>
        <w:tblPrEx>
          <w:tblLayout w:type="fixed"/>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b/>
                <w:sz w:val="24"/>
              </w:rPr>
              <w:t>处置状态分类</w:t>
            </w:r>
          </w:p>
        </w:tc>
        <w:tc>
          <w:tcPr>
            <w:tcW w:w="1473"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违约贷款笔数</w:t>
            </w:r>
          </w:p>
        </w:tc>
        <w:tc>
          <w:tcPr>
            <w:tcW w:w="14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占初始起算日资产池贷款笔数百分比</w:t>
            </w:r>
          </w:p>
        </w:tc>
        <w:tc>
          <w:tcPr>
            <w:tcW w:w="1473"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违约时点本金余额</w:t>
            </w:r>
          </w:p>
        </w:tc>
        <w:tc>
          <w:tcPr>
            <w:tcW w:w="1474"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占初始起算日资产池余额百分比</w:t>
            </w:r>
          </w:p>
        </w:tc>
      </w:tr>
      <w:tr>
        <w:tblPrEx>
          <w:tblLayout w:type="fixed"/>
          <w:tblCellMar>
            <w:top w:w="0" w:type="dxa"/>
            <w:left w:w="108" w:type="dxa"/>
            <w:bottom w:w="0" w:type="dxa"/>
            <w:right w:w="108" w:type="dxa"/>
          </w:tblCellMar>
        </w:tblPrEx>
        <w:trPr>
          <w:trHeight w:val="480" w:hRule="atLeast"/>
        </w:trPr>
        <w:tc>
          <w:tcPr>
            <w:tcW w:w="2628"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经处置目前无拖欠</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无</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r>
      <w:tr>
        <w:tblPrEx>
          <w:tblLayout w:type="fixed"/>
          <w:tblCellMar>
            <w:top w:w="0" w:type="dxa"/>
            <w:left w:w="108" w:type="dxa"/>
            <w:bottom w:w="0" w:type="dxa"/>
            <w:right w:w="108" w:type="dxa"/>
          </w:tblCellMar>
        </w:tblPrEx>
        <w:trPr>
          <w:trHeight w:val="465" w:hRule="atLeast"/>
        </w:trPr>
        <w:tc>
          <w:tcPr>
            <w:tcW w:w="2628"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非诉讼类处置</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无</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r>
      <w:tr>
        <w:tblPrEx>
          <w:tblLayout w:type="fixed"/>
          <w:tblCellMar>
            <w:top w:w="0" w:type="dxa"/>
            <w:left w:w="108" w:type="dxa"/>
            <w:bottom w:w="0" w:type="dxa"/>
            <w:right w:w="108" w:type="dxa"/>
          </w:tblCellMar>
        </w:tblPrEx>
        <w:trPr>
          <w:trHeight w:val="480" w:hRule="atLeast"/>
        </w:trPr>
        <w:tc>
          <w:tcPr>
            <w:tcW w:w="2628"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诉讼处置：</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p>
        </w:tc>
      </w:tr>
      <w:tr>
        <w:tblPrEx>
          <w:tblLayout w:type="fixed"/>
          <w:tblCellMar>
            <w:top w:w="0" w:type="dxa"/>
            <w:left w:w="108" w:type="dxa"/>
            <w:bottom w:w="0" w:type="dxa"/>
            <w:right w:w="108" w:type="dxa"/>
          </w:tblCellMar>
        </w:tblPrEx>
        <w:trPr>
          <w:trHeight w:val="480" w:hRule="atLeast"/>
        </w:trPr>
        <w:tc>
          <w:tcPr>
            <w:tcW w:w="2628" w:type="dxa"/>
            <w:tcBorders>
              <w:top w:val="single" w:color="auto" w:sz="4" w:space="0"/>
              <w:left w:val="single" w:color="auto" w:sz="4" w:space="0"/>
              <w:bottom w:val="single" w:color="auto" w:sz="4" w:space="0"/>
              <w:right w:val="single" w:color="auto" w:sz="4" w:space="0"/>
            </w:tcBorders>
          </w:tcPr>
          <w:p>
            <w:pPr>
              <w:spacing w:line="380" w:lineRule="exact"/>
              <w:ind w:firstLine="315" w:firstLineChars="150"/>
              <w:jc w:val="right"/>
              <w:rPr>
                <w:rFonts w:eastAsia="楷体_GB2312"/>
              </w:rPr>
            </w:pPr>
            <w:r>
              <w:rPr>
                <w:rFonts w:eastAsia="楷体_GB2312"/>
              </w:rPr>
              <w:t>进入诉讼准备程序</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rFonts w:hint="eastAsia"/>
                <w:color w:val="000000"/>
                <w:kern w:val="0"/>
                <w:sz w:val="18"/>
                <w:szCs w:val="18"/>
              </w:rPr>
              <w:t>2</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w:t>
            </w:r>
            <w:r>
              <w:rPr>
                <w:rFonts w:hint="eastAsia"/>
                <w:color w:val="000000"/>
                <w:kern w:val="0"/>
                <w:sz w:val="18"/>
                <w:szCs w:val="18"/>
              </w:rPr>
              <w:t>4</w:t>
            </w:r>
            <w:r>
              <w:rPr>
                <w:color w:val="000000"/>
                <w:kern w:val="0"/>
                <w:sz w:val="18"/>
                <w:szCs w:val="18"/>
              </w:rPr>
              <w:t>%</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rFonts w:hint="eastAsia"/>
                <w:color w:val="000000"/>
                <w:kern w:val="0"/>
                <w:sz w:val="18"/>
                <w:szCs w:val="18"/>
              </w:rPr>
              <w:t>1,324,575.88</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w:t>
            </w:r>
            <w:r>
              <w:rPr>
                <w:rFonts w:hint="eastAsia"/>
                <w:color w:val="000000"/>
                <w:kern w:val="0"/>
                <w:sz w:val="18"/>
                <w:szCs w:val="18"/>
              </w:rPr>
              <w:t>6</w:t>
            </w:r>
            <w:r>
              <w:rPr>
                <w:color w:val="000000"/>
                <w:kern w:val="0"/>
                <w:sz w:val="18"/>
                <w:szCs w:val="18"/>
              </w:rPr>
              <w:t>%</w:t>
            </w:r>
          </w:p>
        </w:tc>
      </w:tr>
      <w:tr>
        <w:tblPrEx>
          <w:tblLayout w:type="fixed"/>
          <w:tblCellMar>
            <w:top w:w="0" w:type="dxa"/>
            <w:left w:w="108" w:type="dxa"/>
            <w:bottom w:w="0" w:type="dxa"/>
            <w:right w:w="108" w:type="dxa"/>
          </w:tblCellMar>
        </w:tblPrEx>
        <w:trPr>
          <w:trHeight w:val="450" w:hRule="atLeast"/>
        </w:trPr>
        <w:tc>
          <w:tcPr>
            <w:tcW w:w="2628" w:type="dxa"/>
            <w:tcBorders>
              <w:top w:val="single" w:color="auto" w:sz="4" w:space="0"/>
              <w:left w:val="single" w:color="auto" w:sz="4" w:space="0"/>
              <w:bottom w:val="single" w:color="auto" w:sz="4" w:space="0"/>
              <w:right w:val="single" w:color="auto" w:sz="4" w:space="0"/>
            </w:tcBorders>
          </w:tcPr>
          <w:p>
            <w:pPr>
              <w:spacing w:line="380" w:lineRule="exact"/>
              <w:ind w:firstLine="315" w:firstLineChars="150"/>
              <w:jc w:val="right"/>
              <w:rPr>
                <w:rFonts w:eastAsia="楷体_GB2312"/>
              </w:rPr>
            </w:pPr>
            <w:r>
              <w:rPr>
                <w:rFonts w:eastAsia="楷体_GB2312"/>
              </w:rPr>
              <w:t>进入法庭受理程序</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无</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r>
      <w:tr>
        <w:tblPrEx>
          <w:tblLayout w:type="fixed"/>
          <w:tblCellMar>
            <w:top w:w="0" w:type="dxa"/>
            <w:left w:w="108" w:type="dxa"/>
            <w:bottom w:w="0" w:type="dxa"/>
            <w:right w:w="108" w:type="dxa"/>
          </w:tblCellMar>
        </w:tblPrEx>
        <w:trPr>
          <w:trHeight w:val="360" w:hRule="atLeast"/>
        </w:trPr>
        <w:tc>
          <w:tcPr>
            <w:tcW w:w="2628" w:type="dxa"/>
            <w:tcBorders>
              <w:top w:val="single" w:color="auto" w:sz="4" w:space="0"/>
              <w:left w:val="single" w:color="auto" w:sz="4" w:space="0"/>
              <w:bottom w:val="single" w:color="auto" w:sz="4" w:space="0"/>
              <w:right w:val="single" w:color="auto" w:sz="4" w:space="0"/>
            </w:tcBorders>
          </w:tcPr>
          <w:p>
            <w:pPr>
              <w:spacing w:line="380" w:lineRule="exact"/>
              <w:ind w:firstLine="315" w:firstLineChars="150"/>
              <w:jc w:val="right"/>
              <w:rPr>
                <w:rFonts w:eastAsia="楷体_GB2312"/>
              </w:rPr>
            </w:pPr>
            <w:r>
              <w:rPr>
                <w:rFonts w:eastAsia="楷体_GB2312"/>
              </w:rPr>
              <w:t>进入执行拍卖程序</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无</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w:t>
            </w:r>
          </w:p>
        </w:tc>
      </w:tr>
      <w:tr>
        <w:tblPrEx>
          <w:tblLayout w:type="fixed"/>
          <w:tblCellMar>
            <w:top w:w="0" w:type="dxa"/>
            <w:left w:w="108" w:type="dxa"/>
            <w:bottom w:w="0" w:type="dxa"/>
            <w:right w:w="108" w:type="dxa"/>
          </w:tblCellMar>
        </w:tblPrEx>
        <w:trPr>
          <w:trHeight w:val="435" w:hRule="atLeast"/>
        </w:trPr>
        <w:tc>
          <w:tcPr>
            <w:tcW w:w="2628"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sz w:val="24"/>
              </w:rPr>
            </w:pPr>
            <w:r>
              <w:rPr>
                <w:rFonts w:eastAsia="楷体_GB2312"/>
                <w:sz w:val="24"/>
              </w:rPr>
              <w:t>经处置已核销或结清</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rFonts w:hint="eastAsia"/>
                <w:color w:val="000000"/>
                <w:kern w:val="0"/>
                <w:sz w:val="18"/>
                <w:szCs w:val="18"/>
              </w:rPr>
              <w:t>1</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w:t>
            </w:r>
            <w:r>
              <w:rPr>
                <w:rFonts w:hint="eastAsia"/>
                <w:color w:val="000000"/>
                <w:kern w:val="0"/>
                <w:sz w:val="18"/>
                <w:szCs w:val="18"/>
              </w:rPr>
              <w:t>2</w:t>
            </w:r>
            <w:r>
              <w:rPr>
                <w:color w:val="000000"/>
                <w:kern w:val="0"/>
                <w:sz w:val="18"/>
                <w:szCs w:val="18"/>
              </w:rPr>
              <w:t>%</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rFonts w:hint="eastAsia"/>
                <w:color w:val="000000"/>
                <w:kern w:val="0"/>
                <w:sz w:val="18"/>
                <w:szCs w:val="18"/>
              </w:rPr>
              <w:t>266,000.00</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w:t>
            </w:r>
            <w:r>
              <w:rPr>
                <w:rFonts w:hint="eastAsia"/>
                <w:color w:val="000000"/>
                <w:kern w:val="0"/>
                <w:sz w:val="18"/>
                <w:szCs w:val="18"/>
              </w:rPr>
              <w:t>1</w:t>
            </w:r>
            <w:r>
              <w:rPr>
                <w:color w:val="000000"/>
                <w:kern w:val="0"/>
                <w:sz w:val="18"/>
                <w:szCs w:val="18"/>
              </w:rPr>
              <w:t>%</w:t>
            </w:r>
          </w:p>
        </w:tc>
      </w:tr>
      <w:tr>
        <w:tblPrEx>
          <w:tblLayout w:type="fixed"/>
          <w:tblCellMar>
            <w:top w:w="0" w:type="dxa"/>
            <w:left w:w="108" w:type="dxa"/>
            <w:bottom w:w="0" w:type="dxa"/>
            <w:right w:w="108" w:type="dxa"/>
          </w:tblCellMar>
        </w:tblPrEx>
        <w:trPr>
          <w:trHeight w:val="315" w:hRule="atLeast"/>
        </w:trPr>
        <w:tc>
          <w:tcPr>
            <w:tcW w:w="2628" w:type="dxa"/>
            <w:tcBorders>
              <w:top w:val="single" w:color="auto" w:sz="4" w:space="0"/>
              <w:left w:val="single" w:color="auto" w:sz="4" w:space="0"/>
              <w:bottom w:val="single" w:color="auto" w:sz="4" w:space="0"/>
              <w:right w:val="single" w:color="auto" w:sz="4" w:space="0"/>
            </w:tcBorders>
          </w:tcPr>
          <w:p>
            <w:pPr>
              <w:spacing w:line="380" w:lineRule="exact"/>
              <w:jc w:val="right"/>
              <w:rPr>
                <w:rFonts w:eastAsia="楷体_GB2312"/>
                <w:b/>
                <w:sz w:val="24"/>
              </w:rPr>
            </w:pPr>
            <w:r>
              <w:rPr>
                <w:rFonts w:eastAsia="楷体_GB2312"/>
                <w:b/>
                <w:sz w:val="24"/>
              </w:rPr>
              <w:t>合计</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rFonts w:hint="eastAsia"/>
                <w:color w:val="000000"/>
                <w:kern w:val="0"/>
                <w:sz w:val="18"/>
                <w:szCs w:val="18"/>
              </w:rPr>
              <w:t>3</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w:t>
            </w:r>
            <w:r>
              <w:rPr>
                <w:rFonts w:hint="eastAsia"/>
                <w:color w:val="000000"/>
                <w:kern w:val="0"/>
                <w:sz w:val="18"/>
                <w:szCs w:val="18"/>
              </w:rPr>
              <w:t>6</w:t>
            </w:r>
            <w:r>
              <w:rPr>
                <w:color w:val="000000"/>
                <w:kern w:val="0"/>
                <w:sz w:val="18"/>
                <w:szCs w:val="18"/>
              </w:rPr>
              <w:t>%</w:t>
            </w:r>
          </w:p>
        </w:tc>
        <w:tc>
          <w:tcPr>
            <w:tcW w:w="1473"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rFonts w:hint="eastAsia"/>
                <w:color w:val="000000"/>
                <w:kern w:val="0"/>
                <w:sz w:val="18"/>
                <w:szCs w:val="18"/>
              </w:rPr>
              <w:t>1,590,575.88</w:t>
            </w:r>
          </w:p>
        </w:tc>
        <w:tc>
          <w:tcPr>
            <w:tcW w:w="1474" w:type="dxa"/>
            <w:tcBorders>
              <w:top w:val="single" w:color="auto" w:sz="4" w:space="0"/>
              <w:left w:val="single" w:color="auto" w:sz="4" w:space="0"/>
              <w:bottom w:val="single" w:color="auto" w:sz="4" w:space="0"/>
              <w:right w:val="single" w:color="auto" w:sz="4" w:space="0"/>
            </w:tcBorders>
            <w:vAlign w:val="center"/>
          </w:tcPr>
          <w:p>
            <w:pPr>
              <w:widowControl/>
              <w:autoSpaceDE/>
              <w:autoSpaceDN/>
              <w:adjustRightInd/>
              <w:jc w:val="center"/>
              <w:rPr>
                <w:color w:val="000000"/>
                <w:kern w:val="0"/>
                <w:sz w:val="18"/>
                <w:szCs w:val="18"/>
              </w:rPr>
            </w:pPr>
            <w:r>
              <w:rPr>
                <w:color w:val="000000"/>
                <w:kern w:val="0"/>
                <w:sz w:val="18"/>
                <w:szCs w:val="18"/>
              </w:rPr>
              <w:t>0.0</w:t>
            </w:r>
            <w:r>
              <w:rPr>
                <w:rFonts w:hint="eastAsia"/>
                <w:color w:val="000000"/>
                <w:kern w:val="0"/>
                <w:sz w:val="18"/>
                <w:szCs w:val="18"/>
              </w:rPr>
              <w:t>7</w:t>
            </w:r>
            <w:r>
              <w:rPr>
                <w:color w:val="000000"/>
                <w:kern w:val="0"/>
                <w:sz w:val="18"/>
                <w:szCs w:val="18"/>
              </w:rPr>
              <w:t>%</w:t>
            </w:r>
          </w:p>
        </w:tc>
      </w:tr>
      <w:tr>
        <w:tblPrEx>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FFFF00"/>
          </w:tcPr>
          <w:p>
            <w:pPr>
              <w:spacing w:before="50" w:after="50" w:line="360" w:lineRule="auto"/>
              <w:rPr>
                <w:rFonts w:eastAsia="楷体_GB2312"/>
              </w:rPr>
            </w:pPr>
            <w:r>
              <w:rPr>
                <w:rFonts w:eastAsia="楷体_GB2312"/>
                <w:b/>
                <w:color w:val="000000"/>
              </w:rPr>
              <w:t>抵销权风险监控</w:t>
            </w:r>
            <w:r>
              <w:rPr>
                <w:rFonts w:eastAsia="楷体_GB2312"/>
                <w:b/>
              </w:rPr>
              <w:t>（发生“权利完善事件”之（c）项或（d）项情形</w:t>
            </w:r>
            <w:r>
              <w:rPr>
                <w:rFonts w:eastAsia="楷体_GB2312"/>
                <w:b/>
                <w:color w:val="000000"/>
              </w:rPr>
              <w:t>后开始对该项进行跟踪）</w:t>
            </w:r>
          </w:p>
        </w:tc>
      </w:tr>
      <w:tr>
        <w:tblPrEx>
          <w:tblLayout w:type="fixed"/>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tcBorders>
          </w:tcPr>
          <w:p>
            <w:pPr>
              <w:spacing w:before="50" w:after="50" w:line="360" w:lineRule="auto"/>
              <w:rPr>
                <w:rFonts w:eastAsia="楷体_GB2312"/>
                <w:sz w:val="18"/>
              </w:rPr>
            </w:pPr>
            <w:r>
              <w:rPr>
                <w:rFonts w:eastAsia="楷体_GB2312"/>
                <w:sz w:val="18"/>
              </w:rPr>
              <w:t>可能被用于行使抵销权的总金额（本收款期期末，同一借款人对华夏银行的债权余额）</w:t>
            </w:r>
          </w:p>
        </w:tc>
        <w:tc>
          <w:tcPr>
            <w:tcW w:w="1473" w:type="dxa"/>
            <w:tcBorders>
              <w:top w:val="single" w:color="auto" w:sz="4" w:space="0"/>
              <w:bottom w:val="single" w:color="auto" w:sz="4" w:space="0"/>
            </w:tcBorders>
          </w:tcPr>
          <w:p>
            <w:pPr>
              <w:spacing w:before="50" w:after="50" w:line="360" w:lineRule="auto"/>
              <w:jc w:val="center"/>
              <w:rPr>
                <w:rFonts w:eastAsia="楷体_GB2312"/>
              </w:rPr>
            </w:pPr>
          </w:p>
        </w:tc>
        <w:tc>
          <w:tcPr>
            <w:tcW w:w="1474" w:type="dxa"/>
            <w:tcBorders>
              <w:top w:val="single" w:color="auto" w:sz="4" w:space="0"/>
              <w:bottom w:val="single" w:color="auto" w:sz="4" w:space="0"/>
            </w:tcBorders>
          </w:tcPr>
          <w:p>
            <w:pPr>
              <w:spacing w:before="50" w:after="50" w:line="360" w:lineRule="auto"/>
              <w:rPr>
                <w:rFonts w:eastAsia="楷体_GB2312"/>
              </w:rPr>
            </w:pPr>
            <w:r>
              <w:rPr>
                <w:rFonts w:hint="eastAsia" w:eastAsia="楷体_GB2312"/>
              </w:rPr>
              <w:t>无</w:t>
            </w:r>
          </w:p>
        </w:tc>
        <w:tc>
          <w:tcPr>
            <w:tcW w:w="1473" w:type="dxa"/>
            <w:tcBorders>
              <w:top w:val="single" w:color="auto" w:sz="4" w:space="0"/>
              <w:bottom w:val="single" w:color="auto" w:sz="4" w:space="0"/>
            </w:tcBorders>
          </w:tcPr>
          <w:p>
            <w:pPr>
              <w:spacing w:before="50" w:after="50" w:line="360" w:lineRule="auto"/>
              <w:rPr>
                <w:rFonts w:eastAsia="楷体_GB2312"/>
              </w:rPr>
            </w:pPr>
          </w:p>
        </w:tc>
        <w:tc>
          <w:tcPr>
            <w:tcW w:w="1474" w:type="dxa"/>
            <w:tcBorders>
              <w:top w:val="single" w:color="auto" w:sz="4" w:space="0"/>
              <w:bottom w:val="single" w:color="auto" w:sz="4" w:space="0"/>
              <w:right w:val="single" w:color="auto" w:sz="4" w:space="0"/>
            </w:tcBorders>
          </w:tcPr>
          <w:p>
            <w:pPr>
              <w:spacing w:before="50" w:after="50" w:line="360" w:lineRule="auto"/>
              <w:jc w:val="center"/>
              <w:rPr>
                <w:rFonts w:eastAsia="楷体_GB2312"/>
              </w:rPr>
            </w:pPr>
          </w:p>
        </w:tc>
      </w:tr>
      <w:tr>
        <w:tblPrEx>
          <w:tblLayout w:type="fixed"/>
          <w:tblCellMar>
            <w:top w:w="0" w:type="dxa"/>
            <w:left w:w="108" w:type="dxa"/>
            <w:bottom w:w="0" w:type="dxa"/>
            <w:right w:w="108" w:type="dxa"/>
          </w:tblCellMar>
        </w:tblPrEx>
        <w:trPr>
          <w:trHeight w:val="315" w:hRule="atLeast"/>
        </w:trPr>
        <w:tc>
          <w:tcPr>
            <w:tcW w:w="2628" w:type="dxa"/>
            <w:tcBorders>
              <w:top w:val="single" w:color="auto" w:sz="4" w:space="0"/>
            </w:tcBorders>
          </w:tcPr>
          <w:p>
            <w:pPr>
              <w:spacing w:line="380" w:lineRule="exact"/>
              <w:jc w:val="right"/>
              <w:rPr>
                <w:rFonts w:eastAsia="楷体_GB2312"/>
              </w:rPr>
            </w:pPr>
            <w:r>
              <w:rPr>
                <w:rFonts w:eastAsia="楷体_GB2312"/>
              </w:rPr>
              <w:t>说明：</w:t>
            </w:r>
          </w:p>
        </w:tc>
        <w:tc>
          <w:tcPr>
            <w:tcW w:w="5894" w:type="dxa"/>
            <w:gridSpan w:val="4"/>
            <w:tcBorders>
              <w:top w:val="single" w:color="auto" w:sz="4" w:space="0"/>
            </w:tcBorders>
          </w:tcPr>
          <w:p>
            <w:pPr>
              <w:spacing w:line="380" w:lineRule="exact"/>
              <w:rPr>
                <w:rFonts w:eastAsia="楷体_GB2312"/>
              </w:rPr>
            </w:pPr>
            <w:r>
              <w:rPr>
                <w:rFonts w:eastAsia="楷体_GB2312"/>
              </w:rPr>
              <w:t>本表金额单位为人民币元</w:t>
            </w:r>
          </w:p>
        </w:tc>
      </w:tr>
      <w:tr>
        <w:tblPrEx>
          <w:tblLayout w:type="fixed"/>
          <w:tblCellMar>
            <w:top w:w="0" w:type="dxa"/>
            <w:left w:w="108" w:type="dxa"/>
            <w:bottom w:w="0" w:type="dxa"/>
            <w:right w:w="108" w:type="dxa"/>
          </w:tblCellMar>
        </w:tblPrEx>
        <w:trPr>
          <w:trHeight w:val="315" w:hRule="atLeast"/>
        </w:trPr>
        <w:tc>
          <w:tcPr>
            <w:tcW w:w="8522" w:type="dxa"/>
            <w:gridSpan w:val="5"/>
          </w:tcPr>
          <w:p>
            <w:pPr>
              <w:spacing w:line="380" w:lineRule="exact"/>
              <w:rPr>
                <w:rFonts w:eastAsia="楷体_GB2312"/>
                <w:sz w:val="24"/>
              </w:rPr>
            </w:pPr>
            <w:r>
              <w:rPr>
                <w:rFonts w:eastAsia="楷体_GB2312"/>
                <w:sz w:val="24"/>
              </w:rPr>
              <w:t>贷款服务机构公章或业务管理部门章</w:t>
            </w:r>
          </w:p>
        </w:tc>
      </w:tr>
    </w:tbl>
    <w:p>
      <w:pPr>
        <w:spacing w:line="380" w:lineRule="exact"/>
        <w:rPr>
          <w:rFonts w:eastAsia="楷体_GB2312"/>
          <w:sz w:val="24"/>
        </w:rPr>
      </w:pPr>
    </w:p>
    <w:p>
      <w:pPr>
        <w:spacing w:line="380" w:lineRule="exact"/>
        <w:rPr>
          <w:rFonts w:eastAsia="楷体_GB2312"/>
          <w:sz w:val="24"/>
        </w:rPr>
      </w:pPr>
    </w:p>
    <w:p>
      <w:pPr>
        <w:spacing w:line="380" w:lineRule="exact"/>
        <w:rPr>
          <w:rFonts w:eastAsia="楷体_GB2312"/>
          <w:sz w:val="24"/>
        </w:rPr>
      </w:pPr>
      <w:r>
        <w:rPr>
          <w:rFonts w:eastAsia="楷体_GB2312"/>
          <w:sz w:val="24"/>
        </w:rPr>
        <w:br w:type="page"/>
      </w:r>
    </w:p>
    <w:tbl>
      <w:tblPr>
        <w:tblStyle w:val="17"/>
        <w:tblW w:w="8417" w:type="dxa"/>
        <w:tblInd w:w="108" w:type="dxa"/>
        <w:tblLayout w:type="fixed"/>
        <w:tblCellMar>
          <w:top w:w="0" w:type="dxa"/>
          <w:left w:w="108" w:type="dxa"/>
          <w:bottom w:w="0" w:type="dxa"/>
          <w:right w:w="108" w:type="dxa"/>
        </w:tblCellMar>
      </w:tblPr>
      <w:tblGrid>
        <w:gridCol w:w="2268"/>
        <w:gridCol w:w="851"/>
        <w:gridCol w:w="1276"/>
        <w:gridCol w:w="708"/>
        <w:gridCol w:w="1134"/>
        <w:gridCol w:w="851"/>
        <w:gridCol w:w="1134"/>
        <w:gridCol w:w="195"/>
      </w:tblGrid>
      <w:tr>
        <w:tblPrEx>
          <w:tblLayout w:type="fixed"/>
          <w:tblCellMar>
            <w:top w:w="0" w:type="dxa"/>
            <w:left w:w="108" w:type="dxa"/>
            <w:bottom w:w="0" w:type="dxa"/>
            <w:right w:w="108" w:type="dxa"/>
          </w:tblCellMar>
        </w:tblPrEx>
        <w:tc>
          <w:tcPr>
            <w:tcW w:w="8417" w:type="dxa"/>
            <w:gridSpan w:val="8"/>
          </w:tcPr>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c>
          <w:tcPr>
            <w:tcW w:w="8417" w:type="dxa"/>
            <w:gridSpan w:val="8"/>
            <w:tcBorders>
              <w:bottom w:val="single" w:color="auto" w:sz="4" w:space="0"/>
            </w:tcBorders>
          </w:tcPr>
          <w:p>
            <w:pPr>
              <w:spacing w:line="380" w:lineRule="exact"/>
              <w:jc w:val="center"/>
              <w:rPr>
                <w:rFonts w:eastAsia="楷体_GB2312"/>
                <w:color w:val="000000"/>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497" w:hRule="atLeast"/>
        </w:trPr>
        <w:tc>
          <w:tcPr>
            <w:tcW w:w="8222" w:type="dxa"/>
            <w:gridSpan w:val="7"/>
            <w:shd w:val="clear" w:color="auto" w:fill="E5DFEC"/>
          </w:tcPr>
          <w:p>
            <w:pPr>
              <w:spacing w:line="380" w:lineRule="exact"/>
              <w:rPr>
                <w:rFonts w:eastAsia="楷体_GB2312"/>
                <w:b/>
                <w:sz w:val="24"/>
              </w:rPr>
            </w:pPr>
            <w:r>
              <w:rPr>
                <w:rFonts w:eastAsia="楷体_GB2312"/>
                <w:b/>
                <w:sz w:val="24"/>
              </w:rPr>
              <w:t>7、违约贷款信息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540" w:hRule="atLeast"/>
        </w:trPr>
        <w:tc>
          <w:tcPr>
            <w:tcW w:w="8222" w:type="dxa"/>
            <w:gridSpan w:val="7"/>
          </w:tcPr>
          <w:p>
            <w:pPr>
              <w:widowControl/>
              <w:spacing w:before="120" w:beforeLines="50" w:after="120" w:afterLines="50" w:line="240" w:lineRule="exact"/>
              <w:jc w:val="center"/>
              <w:rPr>
                <w:rFonts w:eastAsia="楷体_GB2312"/>
                <w:b/>
                <w:bCs/>
                <w:kern w:val="0"/>
              </w:rPr>
            </w:pPr>
            <w:r>
              <w:rPr>
                <w:rFonts w:eastAsia="楷体_GB2312"/>
              </w:rPr>
              <w:t>本收款期间资产池新增贷款违约情况详见下表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540" w:hRule="atLeast"/>
        </w:trPr>
        <w:tc>
          <w:tcPr>
            <w:tcW w:w="2268" w:type="dxa"/>
            <w:vAlign w:val="center"/>
          </w:tcPr>
          <w:p>
            <w:pPr>
              <w:widowControl/>
              <w:spacing w:before="120" w:beforeLines="50" w:after="120" w:afterLines="50" w:line="240" w:lineRule="exact"/>
              <w:jc w:val="left"/>
              <w:rPr>
                <w:rFonts w:eastAsia="楷体_GB2312"/>
                <w:kern w:val="0"/>
              </w:rPr>
            </w:pPr>
          </w:p>
        </w:tc>
        <w:tc>
          <w:tcPr>
            <w:tcW w:w="2127" w:type="dxa"/>
            <w:gridSpan w:val="2"/>
            <w:vAlign w:val="center"/>
          </w:tcPr>
          <w:p>
            <w:pPr>
              <w:widowControl/>
              <w:spacing w:before="120" w:beforeLines="50" w:after="120" w:afterLines="50" w:line="240" w:lineRule="exact"/>
              <w:jc w:val="center"/>
              <w:rPr>
                <w:rFonts w:eastAsia="楷体_GB2312"/>
                <w:b/>
                <w:bCs/>
                <w:kern w:val="0"/>
              </w:rPr>
            </w:pPr>
            <w:r>
              <w:rPr>
                <w:rFonts w:eastAsia="楷体_GB2312"/>
                <w:b/>
                <w:bCs/>
                <w:kern w:val="0"/>
              </w:rPr>
              <w:t>本收款期间</w:t>
            </w:r>
          </w:p>
        </w:tc>
        <w:tc>
          <w:tcPr>
            <w:tcW w:w="1842" w:type="dxa"/>
            <w:gridSpan w:val="2"/>
            <w:vAlign w:val="center"/>
          </w:tcPr>
          <w:p>
            <w:pPr>
              <w:widowControl/>
              <w:spacing w:before="120" w:beforeLines="50" w:after="120" w:afterLines="50" w:line="240" w:lineRule="exact"/>
              <w:jc w:val="center"/>
              <w:rPr>
                <w:rFonts w:eastAsia="楷体_GB2312"/>
                <w:b/>
                <w:bCs/>
                <w:kern w:val="0"/>
              </w:rPr>
            </w:pPr>
            <w:r>
              <w:rPr>
                <w:rFonts w:eastAsia="楷体_GB2312"/>
                <w:b/>
                <w:bCs/>
                <w:kern w:val="0"/>
              </w:rPr>
              <w:t>上一收款期间</w:t>
            </w:r>
          </w:p>
        </w:tc>
        <w:tc>
          <w:tcPr>
            <w:tcW w:w="1985" w:type="dxa"/>
            <w:gridSpan w:val="2"/>
            <w:vAlign w:val="center"/>
          </w:tcPr>
          <w:p>
            <w:pPr>
              <w:widowControl/>
              <w:spacing w:before="120" w:beforeLines="50" w:after="120" w:afterLines="50" w:line="240" w:lineRule="exact"/>
              <w:jc w:val="center"/>
              <w:rPr>
                <w:rFonts w:eastAsia="楷体_GB2312"/>
                <w:b/>
                <w:bCs/>
                <w:kern w:val="0"/>
              </w:rPr>
            </w:pPr>
            <w:r>
              <w:rPr>
                <w:rFonts w:eastAsia="楷体_GB2312"/>
                <w:b/>
                <w:bCs/>
                <w:kern w:val="0"/>
              </w:rPr>
              <w:t>再上一收款期间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285" w:hRule="atLeast"/>
        </w:trPr>
        <w:tc>
          <w:tcPr>
            <w:tcW w:w="2268" w:type="dxa"/>
            <w:vAlign w:val="center"/>
          </w:tcPr>
          <w:p>
            <w:pPr>
              <w:widowControl/>
              <w:spacing w:before="120" w:beforeLines="50" w:after="120" w:afterLines="50" w:line="240" w:lineRule="exact"/>
              <w:jc w:val="center"/>
              <w:rPr>
                <w:rFonts w:eastAsia="楷体_GB2312"/>
                <w:b/>
                <w:bCs/>
                <w:kern w:val="0"/>
              </w:rPr>
            </w:pPr>
          </w:p>
        </w:tc>
        <w:tc>
          <w:tcPr>
            <w:tcW w:w="851" w:type="dxa"/>
            <w:vAlign w:val="center"/>
          </w:tcPr>
          <w:p>
            <w:pPr>
              <w:widowControl/>
              <w:spacing w:before="120" w:beforeLines="50" w:after="120" w:afterLines="50" w:line="240" w:lineRule="exact"/>
              <w:jc w:val="center"/>
              <w:rPr>
                <w:rFonts w:eastAsia="楷体_GB2312"/>
                <w:b/>
                <w:bCs/>
                <w:kern w:val="0"/>
              </w:rPr>
            </w:pPr>
            <w:r>
              <w:rPr>
                <w:rFonts w:eastAsia="楷体_GB2312"/>
                <w:b/>
                <w:bCs/>
                <w:kern w:val="0"/>
              </w:rPr>
              <w:t>贷款笔数</w:t>
            </w:r>
          </w:p>
        </w:tc>
        <w:tc>
          <w:tcPr>
            <w:tcW w:w="1276" w:type="dxa"/>
            <w:vAlign w:val="center"/>
          </w:tcPr>
          <w:p>
            <w:pPr>
              <w:widowControl/>
              <w:spacing w:before="120" w:beforeLines="50" w:after="120" w:afterLines="50" w:line="240" w:lineRule="exact"/>
              <w:jc w:val="center"/>
              <w:rPr>
                <w:rFonts w:eastAsia="楷体_GB2312"/>
                <w:b/>
                <w:bCs/>
                <w:kern w:val="0"/>
              </w:rPr>
            </w:pPr>
            <w:r>
              <w:rPr>
                <w:rFonts w:eastAsia="楷体_GB2312"/>
                <w:b/>
                <w:bCs/>
                <w:kern w:val="0"/>
              </w:rPr>
              <w:t>违约时点未偿本金余额</w:t>
            </w:r>
          </w:p>
        </w:tc>
        <w:tc>
          <w:tcPr>
            <w:tcW w:w="708" w:type="dxa"/>
            <w:vAlign w:val="center"/>
          </w:tcPr>
          <w:p>
            <w:pPr>
              <w:widowControl/>
              <w:spacing w:before="120" w:beforeLines="50" w:after="120" w:afterLines="50" w:line="240" w:lineRule="exact"/>
              <w:jc w:val="center"/>
              <w:rPr>
                <w:rFonts w:eastAsia="楷体_GB2312"/>
                <w:b/>
                <w:bCs/>
                <w:kern w:val="0"/>
              </w:rPr>
            </w:pPr>
            <w:r>
              <w:rPr>
                <w:rFonts w:eastAsia="楷体_GB2312"/>
                <w:b/>
                <w:bCs/>
                <w:kern w:val="0"/>
              </w:rPr>
              <w:t>贷款笔数</w:t>
            </w:r>
          </w:p>
        </w:tc>
        <w:tc>
          <w:tcPr>
            <w:tcW w:w="1134" w:type="dxa"/>
            <w:vAlign w:val="center"/>
          </w:tcPr>
          <w:p>
            <w:pPr>
              <w:widowControl/>
              <w:spacing w:before="120" w:beforeLines="50" w:after="120" w:afterLines="50" w:line="240" w:lineRule="exact"/>
              <w:jc w:val="center"/>
              <w:rPr>
                <w:rFonts w:eastAsia="楷体_GB2312"/>
                <w:b/>
                <w:bCs/>
                <w:kern w:val="0"/>
              </w:rPr>
            </w:pPr>
            <w:r>
              <w:rPr>
                <w:rFonts w:eastAsia="楷体_GB2312"/>
                <w:b/>
                <w:bCs/>
                <w:kern w:val="0"/>
              </w:rPr>
              <w:t>违约时点未偿本金余额</w:t>
            </w:r>
          </w:p>
        </w:tc>
        <w:tc>
          <w:tcPr>
            <w:tcW w:w="851" w:type="dxa"/>
            <w:vAlign w:val="center"/>
          </w:tcPr>
          <w:p>
            <w:pPr>
              <w:widowControl/>
              <w:spacing w:before="120" w:beforeLines="50" w:after="120" w:afterLines="50" w:line="240" w:lineRule="exact"/>
              <w:jc w:val="center"/>
              <w:rPr>
                <w:rFonts w:eastAsia="楷体_GB2312"/>
                <w:b/>
                <w:bCs/>
                <w:kern w:val="0"/>
              </w:rPr>
            </w:pPr>
            <w:r>
              <w:rPr>
                <w:rFonts w:eastAsia="楷体_GB2312"/>
                <w:b/>
                <w:bCs/>
                <w:kern w:val="0"/>
              </w:rPr>
              <w:t>贷款笔数</w:t>
            </w:r>
          </w:p>
        </w:tc>
        <w:tc>
          <w:tcPr>
            <w:tcW w:w="1134" w:type="dxa"/>
            <w:vAlign w:val="center"/>
          </w:tcPr>
          <w:p>
            <w:pPr>
              <w:widowControl/>
              <w:spacing w:before="120" w:beforeLines="50" w:after="120" w:afterLines="50" w:line="240" w:lineRule="exact"/>
              <w:jc w:val="center"/>
              <w:rPr>
                <w:rFonts w:eastAsia="楷体_GB2312"/>
                <w:b/>
                <w:bCs/>
                <w:kern w:val="0"/>
              </w:rPr>
            </w:pPr>
            <w:r>
              <w:rPr>
                <w:rFonts w:eastAsia="楷体_GB2312"/>
                <w:b/>
                <w:bCs/>
                <w:kern w:val="0"/>
              </w:rPr>
              <w:t>违约时点未偿本金余额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285" w:hRule="atLeast"/>
        </w:trPr>
        <w:tc>
          <w:tcPr>
            <w:tcW w:w="2268" w:type="dxa"/>
            <w:vAlign w:val="center"/>
          </w:tcPr>
          <w:p>
            <w:pPr>
              <w:widowControl/>
              <w:spacing w:before="120" w:beforeLines="50" w:after="120" w:afterLines="50" w:line="240" w:lineRule="exact"/>
              <w:jc w:val="left"/>
              <w:rPr>
                <w:rFonts w:eastAsia="楷体_GB2312"/>
                <w:b/>
                <w:bCs/>
                <w:kern w:val="0"/>
              </w:rPr>
            </w:pPr>
            <w:r>
              <w:rPr>
                <w:rFonts w:eastAsia="楷体_GB2312"/>
                <w:b/>
                <w:bCs/>
                <w:kern w:val="0"/>
              </w:rPr>
              <w:t>新增违约贷款</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1</w:t>
            </w:r>
          </w:p>
        </w:tc>
        <w:tc>
          <w:tcPr>
            <w:tcW w:w="1276" w:type="dxa"/>
            <w:vAlign w:val="center"/>
          </w:tcPr>
          <w:p>
            <w:pPr>
              <w:widowControl/>
              <w:autoSpaceDE/>
              <w:autoSpaceDN/>
              <w:adjustRightInd/>
              <w:jc w:val="center"/>
              <w:rPr>
                <w:color w:val="000000"/>
                <w:kern w:val="0"/>
                <w:sz w:val="18"/>
                <w:szCs w:val="18"/>
              </w:rPr>
            </w:pPr>
            <w:r>
              <w:rPr>
                <w:rFonts w:hint="eastAsia"/>
                <w:color w:val="000000"/>
                <w:kern w:val="0"/>
                <w:sz w:val="18"/>
                <w:szCs w:val="18"/>
              </w:rPr>
              <w:t>919,503.47</w:t>
            </w:r>
          </w:p>
        </w:tc>
        <w:tc>
          <w:tcPr>
            <w:tcW w:w="708" w:type="dxa"/>
            <w:vAlign w:val="center"/>
          </w:tcPr>
          <w:p>
            <w:pPr>
              <w:widowControl/>
              <w:autoSpaceDE/>
              <w:autoSpaceDN/>
              <w:adjustRightInd/>
              <w:jc w:val="center"/>
              <w:rPr>
                <w:color w:val="000000"/>
                <w:kern w:val="0"/>
                <w:sz w:val="18"/>
                <w:szCs w:val="18"/>
              </w:rPr>
            </w:pPr>
            <w:r>
              <w:rPr>
                <w:rFonts w:hint="eastAsia"/>
                <w:color w:val="000000"/>
                <w:kern w:val="0"/>
                <w:sz w:val="18"/>
                <w:szCs w:val="18"/>
              </w:rPr>
              <w:t>1</w:t>
            </w:r>
          </w:p>
        </w:tc>
        <w:tc>
          <w:tcPr>
            <w:tcW w:w="1134" w:type="dxa"/>
            <w:vAlign w:val="center"/>
          </w:tcPr>
          <w:p>
            <w:pPr>
              <w:widowControl/>
              <w:autoSpaceDE/>
              <w:autoSpaceDN/>
              <w:adjustRightInd/>
              <w:jc w:val="center"/>
              <w:rPr>
                <w:color w:val="000000"/>
                <w:kern w:val="0"/>
                <w:sz w:val="18"/>
                <w:szCs w:val="18"/>
              </w:rPr>
            </w:pPr>
            <w:r>
              <w:rPr>
                <w:rFonts w:hint="eastAsia"/>
                <w:color w:val="000000"/>
                <w:kern w:val="0"/>
                <w:sz w:val="18"/>
                <w:szCs w:val="18"/>
              </w:rPr>
              <w:t>266,000.00</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134" w:type="dxa"/>
            <w:vAlign w:val="center"/>
          </w:tcPr>
          <w:p>
            <w:pPr>
              <w:widowControl/>
              <w:autoSpaceDE/>
              <w:autoSpaceDN/>
              <w:adjustRightInd/>
              <w:jc w:val="center"/>
              <w:rPr>
                <w:color w:val="000000"/>
                <w:kern w:val="0"/>
                <w:sz w:val="18"/>
                <w:szCs w:val="18"/>
              </w:rPr>
            </w:pPr>
            <w:r>
              <w:rPr>
                <w:color w:val="000000"/>
                <w:kern w:val="0"/>
                <w:sz w:val="18"/>
                <w:szCs w:val="18"/>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522" w:hRule="atLeast"/>
        </w:trPr>
        <w:tc>
          <w:tcPr>
            <w:tcW w:w="2268" w:type="dxa"/>
            <w:vAlign w:val="center"/>
          </w:tcPr>
          <w:p>
            <w:pPr>
              <w:widowControl/>
              <w:spacing w:before="120" w:beforeLines="50" w:after="120" w:afterLines="50" w:line="240" w:lineRule="exact"/>
              <w:jc w:val="left"/>
              <w:rPr>
                <w:rFonts w:eastAsia="楷体_GB2312"/>
                <w:kern w:val="0"/>
              </w:rPr>
            </w:pPr>
            <w:r>
              <w:rPr>
                <w:rFonts w:eastAsia="楷体_GB2312"/>
                <w:kern w:val="0"/>
              </w:rPr>
              <w:t>本收款期内新增拖欠超过90天的贷款</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1</w:t>
            </w:r>
          </w:p>
        </w:tc>
        <w:tc>
          <w:tcPr>
            <w:tcW w:w="1276" w:type="dxa"/>
            <w:vAlign w:val="center"/>
          </w:tcPr>
          <w:p>
            <w:pPr>
              <w:widowControl/>
              <w:autoSpaceDE/>
              <w:autoSpaceDN/>
              <w:adjustRightInd/>
              <w:jc w:val="center"/>
              <w:rPr>
                <w:color w:val="000000"/>
                <w:kern w:val="0"/>
                <w:sz w:val="18"/>
                <w:szCs w:val="18"/>
              </w:rPr>
            </w:pPr>
            <w:r>
              <w:rPr>
                <w:rFonts w:hint="eastAsia"/>
                <w:color w:val="000000"/>
                <w:kern w:val="0"/>
                <w:sz w:val="18"/>
                <w:szCs w:val="18"/>
              </w:rPr>
              <w:t>919,503.47</w:t>
            </w:r>
          </w:p>
        </w:tc>
        <w:tc>
          <w:tcPr>
            <w:tcW w:w="708" w:type="dxa"/>
            <w:vAlign w:val="center"/>
          </w:tcPr>
          <w:p>
            <w:pPr>
              <w:widowControl/>
              <w:autoSpaceDE/>
              <w:autoSpaceDN/>
              <w:adjustRightInd/>
              <w:jc w:val="center"/>
              <w:rPr>
                <w:color w:val="000000"/>
                <w:kern w:val="0"/>
                <w:sz w:val="18"/>
                <w:szCs w:val="18"/>
              </w:rPr>
            </w:pPr>
            <w:r>
              <w:rPr>
                <w:rFonts w:hint="eastAsia"/>
                <w:color w:val="000000"/>
                <w:kern w:val="0"/>
                <w:sz w:val="18"/>
                <w:szCs w:val="18"/>
              </w:rPr>
              <w:t>1</w:t>
            </w:r>
          </w:p>
        </w:tc>
        <w:tc>
          <w:tcPr>
            <w:tcW w:w="1134" w:type="dxa"/>
            <w:vAlign w:val="center"/>
          </w:tcPr>
          <w:p>
            <w:pPr>
              <w:widowControl/>
              <w:autoSpaceDE/>
              <w:autoSpaceDN/>
              <w:adjustRightInd/>
              <w:jc w:val="center"/>
              <w:rPr>
                <w:color w:val="000000"/>
                <w:kern w:val="0"/>
                <w:sz w:val="18"/>
                <w:szCs w:val="18"/>
              </w:rPr>
            </w:pPr>
            <w:r>
              <w:rPr>
                <w:rFonts w:hint="eastAsia"/>
                <w:color w:val="000000"/>
                <w:kern w:val="0"/>
                <w:sz w:val="18"/>
                <w:szCs w:val="18"/>
              </w:rPr>
              <w:t>266,000.00</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134" w:type="dxa"/>
            <w:vAlign w:val="center"/>
          </w:tcPr>
          <w:p>
            <w:pPr>
              <w:widowControl/>
              <w:autoSpaceDE/>
              <w:autoSpaceDN/>
              <w:adjustRightInd/>
              <w:jc w:val="center"/>
              <w:rPr>
                <w:color w:val="000000"/>
                <w:kern w:val="0"/>
                <w:sz w:val="18"/>
                <w:szCs w:val="18"/>
              </w:rPr>
            </w:pPr>
            <w:r>
              <w:rPr>
                <w:color w:val="000000"/>
                <w:kern w:val="0"/>
                <w:sz w:val="18"/>
                <w:szCs w:val="18"/>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522" w:hRule="atLeast"/>
        </w:trPr>
        <w:tc>
          <w:tcPr>
            <w:tcW w:w="2268" w:type="dxa"/>
            <w:vAlign w:val="center"/>
          </w:tcPr>
          <w:p>
            <w:pPr>
              <w:widowControl/>
              <w:spacing w:before="120" w:beforeLines="50" w:after="120" w:afterLines="50" w:line="240" w:lineRule="exact"/>
              <w:jc w:val="left"/>
              <w:rPr>
                <w:rFonts w:eastAsia="楷体_GB2312"/>
                <w:kern w:val="0"/>
              </w:rPr>
            </w:pPr>
            <w:r>
              <w:rPr>
                <w:rFonts w:eastAsia="楷体_GB2312"/>
                <w:kern w:val="0"/>
              </w:rPr>
              <w:t>本收款期内被展期的贷款</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276" w:type="dxa"/>
            <w:vAlign w:val="center"/>
          </w:tcPr>
          <w:p>
            <w:pPr>
              <w:widowControl/>
              <w:autoSpaceDE/>
              <w:autoSpaceDN/>
              <w:adjustRightInd/>
              <w:jc w:val="center"/>
              <w:rPr>
                <w:color w:val="000000"/>
                <w:kern w:val="0"/>
                <w:sz w:val="18"/>
                <w:szCs w:val="18"/>
              </w:rPr>
            </w:pPr>
            <w:r>
              <w:rPr>
                <w:color w:val="000000"/>
                <w:kern w:val="0"/>
                <w:sz w:val="18"/>
                <w:szCs w:val="18"/>
              </w:rPr>
              <w:t>0.00</w:t>
            </w:r>
          </w:p>
        </w:tc>
        <w:tc>
          <w:tcPr>
            <w:tcW w:w="708"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134" w:type="dxa"/>
            <w:vAlign w:val="center"/>
          </w:tcPr>
          <w:p>
            <w:pPr>
              <w:widowControl/>
              <w:autoSpaceDE/>
              <w:autoSpaceDN/>
              <w:adjustRightInd/>
              <w:jc w:val="center"/>
              <w:rPr>
                <w:color w:val="000000"/>
                <w:kern w:val="0"/>
                <w:sz w:val="18"/>
                <w:szCs w:val="18"/>
              </w:rPr>
            </w:pPr>
            <w:r>
              <w:rPr>
                <w:color w:val="000000"/>
                <w:kern w:val="0"/>
                <w:sz w:val="18"/>
                <w:szCs w:val="18"/>
              </w:rPr>
              <w:t>0.00</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134" w:type="dxa"/>
            <w:vAlign w:val="center"/>
          </w:tcPr>
          <w:p>
            <w:pPr>
              <w:widowControl/>
              <w:autoSpaceDE/>
              <w:autoSpaceDN/>
              <w:adjustRightInd/>
              <w:jc w:val="center"/>
              <w:rPr>
                <w:color w:val="000000"/>
                <w:kern w:val="0"/>
                <w:sz w:val="18"/>
                <w:szCs w:val="18"/>
              </w:rPr>
            </w:pPr>
            <w:r>
              <w:rPr>
                <w:color w:val="000000"/>
                <w:kern w:val="0"/>
                <w:sz w:val="18"/>
                <w:szCs w:val="18"/>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522" w:hRule="atLeast"/>
        </w:trPr>
        <w:tc>
          <w:tcPr>
            <w:tcW w:w="2268" w:type="dxa"/>
            <w:vAlign w:val="center"/>
          </w:tcPr>
          <w:p>
            <w:pPr>
              <w:widowControl/>
              <w:spacing w:before="120" w:beforeLines="50" w:after="120" w:afterLines="50" w:line="240" w:lineRule="exact"/>
              <w:jc w:val="left"/>
              <w:rPr>
                <w:rFonts w:eastAsia="楷体_GB2312"/>
                <w:kern w:val="0"/>
              </w:rPr>
            </w:pPr>
            <w:r>
              <w:rPr>
                <w:rFonts w:eastAsia="楷体_GB2312"/>
                <w:kern w:val="0"/>
              </w:rPr>
              <w:t>本收款期间内被重组的贷款</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276" w:type="dxa"/>
            <w:vAlign w:val="center"/>
          </w:tcPr>
          <w:p>
            <w:pPr>
              <w:widowControl/>
              <w:autoSpaceDE/>
              <w:autoSpaceDN/>
              <w:adjustRightInd/>
              <w:jc w:val="center"/>
              <w:rPr>
                <w:color w:val="000000"/>
                <w:kern w:val="0"/>
                <w:sz w:val="18"/>
                <w:szCs w:val="18"/>
              </w:rPr>
            </w:pPr>
            <w:r>
              <w:rPr>
                <w:color w:val="000000"/>
                <w:kern w:val="0"/>
                <w:sz w:val="18"/>
                <w:szCs w:val="18"/>
              </w:rPr>
              <w:t>0.00</w:t>
            </w:r>
          </w:p>
        </w:tc>
        <w:tc>
          <w:tcPr>
            <w:tcW w:w="708"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134" w:type="dxa"/>
            <w:vAlign w:val="center"/>
          </w:tcPr>
          <w:p>
            <w:pPr>
              <w:widowControl/>
              <w:autoSpaceDE/>
              <w:autoSpaceDN/>
              <w:adjustRightInd/>
              <w:jc w:val="center"/>
              <w:rPr>
                <w:color w:val="000000"/>
                <w:kern w:val="0"/>
                <w:sz w:val="18"/>
                <w:szCs w:val="18"/>
              </w:rPr>
            </w:pPr>
            <w:r>
              <w:rPr>
                <w:color w:val="000000"/>
                <w:kern w:val="0"/>
                <w:sz w:val="18"/>
                <w:szCs w:val="18"/>
              </w:rPr>
              <w:t>0.00</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134" w:type="dxa"/>
            <w:vAlign w:val="center"/>
          </w:tcPr>
          <w:p>
            <w:pPr>
              <w:widowControl/>
              <w:autoSpaceDE/>
              <w:autoSpaceDN/>
              <w:adjustRightInd/>
              <w:jc w:val="center"/>
              <w:rPr>
                <w:color w:val="000000"/>
                <w:kern w:val="0"/>
                <w:sz w:val="18"/>
                <w:szCs w:val="18"/>
              </w:rPr>
            </w:pPr>
            <w:r>
              <w:rPr>
                <w:color w:val="000000"/>
                <w:kern w:val="0"/>
                <w:sz w:val="18"/>
                <w:szCs w:val="18"/>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522" w:hRule="atLeast"/>
        </w:trPr>
        <w:tc>
          <w:tcPr>
            <w:tcW w:w="2268" w:type="dxa"/>
            <w:vAlign w:val="center"/>
          </w:tcPr>
          <w:p>
            <w:pPr>
              <w:widowControl/>
              <w:spacing w:before="120" w:beforeLines="50" w:after="120" w:afterLines="50" w:line="240" w:lineRule="exact"/>
              <w:jc w:val="left"/>
              <w:rPr>
                <w:rFonts w:eastAsia="楷体_GB2312"/>
                <w:kern w:val="0"/>
              </w:rPr>
            </w:pPr>
            <w:r>
              <w:rPr>
                <w:rFonts w:eastAsia="楷体_GB2312"/>
                <w:kern w:val="0"/>
              </w:rPr>
              <w:t>除以上二项外，其他根据服务程序被人工认定为损失类（五级分类）的贷款</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276" w:type="dxa"/>
            <w:vAlign w:val="center"/>
          </w:tcPr>
          <w:p>
            <w:pPr>
              <w:widowControl/>
              <w:autoSpaceDE/>
              <w:autoSpaceDN/>
              <w:adjustRightInd/>
              <w:jc w:val="center"/>
              <w:rPr>
                <w:color w:val="000000"/>
                <w:kern w:val="0"/>
                <w:sz w:val="18"/>
                <w:szCs w:val="18"/>
              </w:rPr>
            </w:pPr>
            <w:r>
              <w:rPr>
                <w:color w:val="000000"/>
                <w:kern w:val="0"/>
                <w:sz w:val="18"/>
                <w:szCs w:val="18"/>
              </w:rPr>
              <w:t>0.00</w:t>
            </w:r>
          </w:p>
        </w:tc>
        <w:tc>
          <w:tcPr>
            <w:tcW w:w="708"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134" w:type="dxa"/>
            <w:vAlign w:val="center"/>
          </w:tcPr>
          <w:p>
            <w:pPr>
              <w:widowControl/>
              <w:autoSpaceDE/>
              <w:autoSpaceDN/>
              <w:adjustRightInd/>
              <w:jc w:val="center"/>
              <w:rPr>
                <w:color w:val="000000"/>
                <w:kern w:val="0"/>
                <w:sz w:val="18"/>
                <w:szCs w:val="18"/>
              </w:rPr>
            </w:pPr>
            <w:r>
              <w:rPr>
                <w:color w:val="000000"/>
                <w:kern w:val="0"/>
                <w:sz w:val="18"/>
                <w:szCs w:val="18"/>
              </w:rPr>
              <w:t>0.00</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0</w:t>
            </w:r>
          </w:p>
        </w:tc>
        <w:tc>
          <w:tcPr>
            <w:tcW w:w="1134" w:type="dxa"/>
            <w:vAlign w:val="center"/>
          </w:tcPr>
          <w:p>
            <w:pPr>
              <w:widowControl/>
              <w:autoSpaceDE/>
              <w:autoSpaceDN/>
              <w:adjustRightInd/>
              <w:jc w:val="center"/>
              <w:rPr>
                <w:color w:val="000000"/>
                <w:kern w:val="0"/>
                <w:sz w:val="18"/>
                <w:szCs w:val="18"/>
              </w:rPr>
            </w:pPr>
            <w:r>
              <w:rPr>
                <w:color w:val="000000"/>
                <w:kern w:val="0"/>
                <w:sz w:val="18"/>
                <w:szCs w:val="18"/>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855" w:hRule="atLeast"/>
        </w:trPr>
        <w:tc>
          <w:tcPr>
            <w:tcW w:w="2268" w:type="dxa"/>
            <w:vAlign w:val="center"/>
          </w:tcPr>
          <w:p>
            <w:pPr>
              <w:widowControl/>
              <w:spacing w:before="120" w:beforeLines="50" w:after="120" w:afterLines="50" w:line="240" w:lineRule="exact"/>
              <w:jc w:val="left"/>
              <w:rPr>
                <w:rFonts w:eastAsia="楷体_GB2312"/>
                <w:kern w:val="0"/>
              </w:rPr>
            </w:pPr>
          </w:p>
        </w:tc>
        <w:tc>
          <w:tcPr>
            <w:tcW w:w="2127" w:type="dxa"/>
            <w:gridSpan w:val="2"/>
            <w:vAlign w:val="center"/>
          </w:tcPr>
          <w:p>
            <w:pPr>
              <w:widowControl/>
              <w:spacing w:before="120" w:beforeLines="50" w:after="120" w:afterLines="50" w:line="240" w:lineRule="exact"/>
              <w:jc w:val="center"/>
              <w:rPr>
                <w:rFonts w:eastAsia="楷体_GB2312"/>
                <w:b/>
                <w:bCs/>
                <w:kern w:val="0"/>
              </w:rPr>
            </w:pPr>
            <w:r>
              <w:rPr>
                <w:rFonts w:eastAsia="楷体_GB2312"/>
                <w:b/>
                <w:bCs/>
                <w:kern w:val="0"/>
              </w:rPr>
              <w:t>本收款期间期末</w:t>
            </w:r>
          </w:p>
        </w:tc>
        <w:tc>
          <w:tcPr>
            <w:tcW w:w="1842" w:type="dxa"/>
            <w:gridSpan w:val="2"/>
            <w:vAlign w:val="center"/>
          </w:tcPr>
          <w:p>
            <w:pPr>
              <w:widowControl/>
              <w:spacing w:before="120" w:beforeLines="50" w:after="120" w:afterLines="50" w:line="240" w:lineRule="exact"/>
              <w:jc w:val="left"/>
              <w:rPr>
                <w:rFonts w:eastAsia="楷体_GB2312"/>
                <w:kern w:val="0"/>
              </w:rPr>
            </w:pPr>
            <w:r>
              <w:rPr>
                <w:rFonts w:eastAsia="楷体_GB2312"/>
                <w:b/>
                <w:bCs/>
                <w:kern w:val="0"/>
              </w:rPr>
              <w:t>上一收款期间期末</w:t>
            </w:r>
          </w:p>
        </w:tc>
        <w:tc>
          <w:tcPr>
            <w:tcW w:w="1985" w:type="dxa"/>
            <w:gridSpan w:val="2"/>
            <w:vAlign w:val="center"/>
          </w:tcPr>
          <w:p>
            <w:pPr>
              <w:widowControl/>
              <w:spacing w:before="120" w:beforeLines="50" w:after="120" w:afterLines="50" w:line="240" w:lineRule="exact"/>
              <w:jc w:val="center"/>
              <w:rPr>
                <w:rFonts w:eastAsia="楷体_GB2312"/>
                <w:kern w:val="0"/>
              </w:rPr>
            </w:pPr>
            <w:r>
              <w:rPr>
                <w:rFonts w:eastAsia="楷体_GB2312"/>
                <w:b/>
                <w:bCs/>
                <w:kern w:val="0"/>
              </w:rPr>
              <w:t>再上一收款期间期末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591" w:hRule="atLeast"/>
        </w:trPr>
        <w:tc>
          <w:tcPr>
            <w:tcW w:w="2268" w:type="dxa"/>
            <w:vAlign w:val="center"/>
          </w:tcPr>
          <w:p>
            <w:pPr>
              <w:widowControl/>
              <w:spacing w:before="120" w:beforeLines="50" w:after="120" w:afterLines="50" w:line="240" w:lineRule="exact"/>
              <w:jc w:val="left"/>
              <w:rPr>
                <w:rFonts w:eastAsia="楷体_GB2312"/>
                <w:b/>
                <w:bCs/>
                <w:kern w:val="0"/>
              </w:rPr>
            </w:pPr>
            <w:r>
              <w:rPr>
                <w:rFonts w:eastAsia="楷体_GB2312"/>
                <w:b/>
                <w:bCs/>
                <w:kern w:val="0"/>
              </w:rPr>
              <w:t>累计违约时点违约贷款金额</w:t>
            </w:r>
          </w:p>
        </w:tc>
        <w:tc>
          <w:tcPr>
            <w:tcW w:w="2127" w:type="dxa"/>
            <w:gridSpan w:val="2"/>
            <w:vAlign w:val="center"/>
          </w:tcPr>
          <w:p>
            <w:pPr>
              <w:widowControl/>
              <w:autoSpaceDE/>
              <w:autoSpaceDN/>
              <w:adjustRightInd/>
              <w:jc w:val="center"/>
              <w:rPr>
                <w:color w:val="000000"/>
                <w:kern w:val="0"/>
                <w:sz w:val="18"/>
                <w:szCs w:val="18"/>
              </w:rPr>
            </w:pPr>
            <w:r>
              <w:rPr>
                <w:rFonts w:hint="eastAsia"/>
                <w:color w:val="000000"/>
                <w:kern w:val="0"/>
                <w:sz w:val="18"/>
                <w:szCs w:val="18"/>
              </w:rPr>
              <w:t>1,590,575.88</w:t>
            </w:r>
          </w:p>
        </w:tc>
        <w:tc>
          <w:tcPr>
            <w:tcW w:w="1842" w:type="dxa"/>
            <w:gridSpan w:val="2"/>
            <w:vAlign w:val="center"/>
          </w:tcPr>
          <w:p>
            <w:pPr>
              <w:widowControl/>
              <w:autoSpaceDE/>
              <w:autoSpaceDN/>
              <w:adjustRightInd/>
              <w:jc w:val="center"/>
              <w:rPr>
                <w:color w:val="000000"/>
                <w:kern w:val="0"/>
                <w:sz w:val="18"/>
                <w:szCs w:val="18"/>
              </w:rPr>
            </w:pPr>
            <w:r>
              <w:rPr>
                <w:rFonts w:hint="eastAsia"/>
                <w:color w:val="000000"/>
                <w:kern w:val="0"/>
                <w:sz w:val="18"/>
                <w:szCs w:val="18"/>
              </w:rPr>
              <w:t>671,072.41</w:t>
            </w:r>
          </w:p>
        </w:tc>
        <w:tc>
          <w:tcPr>
            <w:tcW w:w="1985" w:type="dxa"/>
            <w:gridSpan w:val="2"/>
            <w:vAlign w:val="center"/>
          </w:tcPr>
          <w:p>
            <w:pPr>
              <w:widowControl/>
              <w:autoSpaceDE/>
              <w:autoSpaceDN/>
              <w:adjustRightInd/>
              <w:jc w:val="center"/>
              <w:rPr>
                <w:color w:val="000000"/>
                <w:kern w:val="0"/>
                <w:sz w:val="18"/>
                <w:szCs w:val="18"/>
              </w:rPr>
            </w:pPr>
            <w:r>
              <w:rPr>
                <w:color w:val="000000"/>
                <w:kern w:val="0"/>
                <w:sz w:val="18"/>
                <w:szCs w:val="18"/>
              </w:rPr>
              <w:t>405,072.41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285" w:hRule="atLeast"/>
        </w:trPr>
        <w:tc>
          <w:tcPr>
            <w:tcW w:w="2268" w:type="dxa"/>
            <w:vAlign w:val="center"/>
          </w:tcPr>
          <w:p>
            <w:pPr>
              <w:widowControl/>
              <w:spacing w:before="120" w:beforeLines="50" w:after="120" w:afterLines="50" w:line="240" w:lineRule="exact"/>
              <w:jc w:val="left"/>
              <w:rPr>
                <w:rFonts w:eastAsia="楷体_GB2312"/>
                <w:b/>
                <w:bCs/>
                <w:kern w:val="0"/>
              </w:rPr>
            </w:pPr>
            <w:r>
              <w:rPr>
                <w:rFonts w:eastAsia="楷体_GB2312"/>
                <w:b/>
                <w:bCs/>
                <w:kern w:val="0"/>
              </w:rPr>
              <w:t>累计回收本金</w:t>
            </w:r>
          </w:p>
        </w:tc>
        <w:tc>
          <w:tcPr>
            <w:tcW w:w="2127" w:type="dxa"/>
            <w:gridSpan w:val="2"/>
            <w:vAlign w:val="center"/>
          </w:tcPr>
          <w:p>
            <w:pPr>
              <w:widowControl/>
              <w:autoSpaceDE/>
              <w:autoSpaceDN/>
              <w:adjustRightInd/>
              <w:jc w:val="center"/>
              <w:rPr>
                <w:color w:val="000000"/>
                <w:kern w:val="0"/>
                <w:sz w:val="18"/>
                <w:szCs w:val="18"/>
              </w:rPr>
            </w:pPr>
            <w:r>
              <w:rPr>
                <w:rFonts w:hint="eastAsia"/>
                <w:color w:val="000000"/>
                <w:kern w:val="0"/>
                <w:sz w:val="18"/>
                <w:szCs w:val="18"/>
              </w:rPr>
              <w:t>266,000.00</w:t>
            </w:r>
          </w:p>
        </w:tc>
        <w:tc>
          <w:tcPr>
            <w:tcW w:w="1842" w:type="dxa"/>
            <w:gridSpan w:val="2"/>
            <w:vAlign w:val="center"/>
          </w:tcPr>
          <w:p>
            <w:pPr>
              <w:widowControl/>
              <w:autoSpaceDE/>
              <w:autoSpaceDN/>
              <w:adjustRightInd/>
              <w:jc w:val="center"/>
              <w:rPr>
                <w:color w:val="000000"/>
                <w:kern w:val="0"/>
                <w:sz w:val="18"/>
                <w:szCs w:val="18"/>
              </w:rPr>
            </w:pPr>
            <w:r>
              <w:rPr>
                <w:color w:val="000000"/>
                <w:kern w:val="0"/>
                <w:sz w:val="18"/>
                <w:szCs w:val="18"/>
              </w:rPr>
              <w:t>0.00</w:t>
            </w:r>
          </w:p>
        </w:tc>
        <w:tc>
          <w:tcPr>
            <w:tcW w:w="1985" w:type="dxa"/>
            <w:gridSpan w:val="2"/>
            <w:vAlign w:val="center"/>
          </w:tcPr>
          <w:p>
            <w:pPr>
              <w:widowControl/>
              <w:autoSpaceDE/>
              <w:autoSpaceDN/>
              <w:adjustRightInd/>
              <w:jc w:val="center"/>
              <w:rPr>
                <w:color w:val="000000"/>
                <w:kern w:val="0"/>
                <w:sz w:val="18"/>
                <w:szCs w:val="18"/>
              </w:rPr>
            </w:pPr>
            <w:r>
              <w:rPr>
                <w:color w:val="000000"/>
                <w:kern w:val="0"/>
                <w:sz w:val="18"/>
                <w:szCs w:val="18"/>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285" w:hRule="atLeast"/>
        </w:trPr>
        <w:tc>
          <w:tcPr>
            <w:tcW w:w="2268" w:type="dxa"/>
            <w:vAlign w:val="center"/>
          </w:tcPr>
          <w:p>
            <w:pPr>
              <w:widowControl/>
              <w:spacing w:before="120" w:beforeLines="50" w:after="120" w:afterLines="50" w:line="240" w:lineRule="exact"/>
              <w:jc w:val="left"/>
              <w:rPr>
                <w:rFonts w:eastAsia="楷体_GB2312"/>
                <w:b/>
                <w:bCs/>
                <w:kern w:val="0"/>
              </w:rPr>
            </w:pPr>
            <w:r>
              <w:rPr>
                <w:rFonts w:eastAsia="楷体_GB2312"/>
                <w:b/>
                <w:bCs/>
                <w:kern w:val="0"/>
              </w:rPr>
              <w:t>累计违约率(%)</w:t>
            </w:r>
          </w:p>
        </w:tc>
        <w:tc>
          <w:tcPr>
            <w:tcW w:w="2127" w:type="dxa"/>
            <w:gridSpan w:val="2"/>
            <w:vAlign w:val="center"/>
          </w:tcPr>
          <w:p>
            <w:pPr>
              <w:widowControl/>
              <w:autoSpaceDE/>
              <w:autoSpaceDN/>
              <w:adjustRightInd/>
              <w:jc w:val="center"/>
              <w:rPr>
                <w:color w:val="000000"/>
                <w:kern w:val="0"/>
                <w:sz w:val="18"/>
                <w:szCs w:val="18"/>
              </w:rPr>
            </w:pPr>
            <w:r>
              <w:rPr>
                <w:color w:val="000000"/>
                <w:kern w:val="0"/>
                <w:sz w:val="18"/>
                <w:szCs w:val="18"/>
              </w:rPr>
              <w:t>0.0</w:t>
            </w:r>
            <w:r>
              <w:rPr>
                <w:rFonts w:hint="eastAsia"/>
                <w:color w:val="000000"/>
                <w:kern w:val="0"/>
                <w:sz w:val="18"/>
                <w:szCs w:val="18"/>
              </w:rPr>
              <w:t>7</w:t>
            </w:r>
            <w:r>
              <w:rPr>
                <w:color w:val="000000"/>
                <w:kern w:val="0"/>
                <w:sz w:val="18"/>
                <w:szCs w:val="18"/>
              </w:rPr>
              <w:t>%</w:t>
            </w:r>
          </w:p>
        </w:tc>
        <w:tc>
          <w:tcPr>
            <w:tcW w:w="1842" w:type="dxa"/>
            <w:gridSpan w:val="2"/>
            <w:vAlign w:val="center"/>
          </w:tcPr>
          <w:p>
            <w:pPr>
              <w:widowControl/>
              <w:autoSpaceDE/>
              <w:autoSpaceDN/>
              <w:adjustRightInd/>
              <w:jc w:val="center"/>
              <w:rPr>
                <w:color w:val="000000"/>
                <w:kern w:val="0"/>
                <w:sz w:val="18"/>
                <w:szCs w:val="18"/>
              </w:rPr>
            </w:pPr>
            <w:r>
              <w:rPr>
                <w:color w:val="000000"/>
                <w:kern w:val="0"/>
                <w:sz w:val="18"/>
                <w:szCs w:val="18"/>
              </w:rPr>
              <w:t>0.0</w:t>
            </w:r>
            <w:r>
              <w:rPr>
                <w:rFonts w:hint="eastAsia"/>
                <w:color w:val="000000"/>
                <w:kern w:val="0"/>
                <w:sz w:val="18"/>
                <w:szCs w:val="18"/>
              </w:rPr>
              <w:t>3</w:t>
            </w:r>
            <w:r>
              <w:rPr>
                <w:color w:val="000000"/>
                <w:kern w:val="0"/>
                <w:sz w:val="18"/>
                <w:szCs w:val="18"/>
              </w:rPr>
              <w:t>%</w:t>
            </w:r>
          </w:p>
        </w:tc>
        <w:tc>
          <w:tcPr>
            <w:tcW w:w="1985" w:type="dxa"/>
            <w:gridSpan w:val="2"/>
            <w:vAlign w:val="center"/>
          </w:tcPr>
          <w:p>
            <w:pPr>
              <w:widowControl/>
              <w:autoSpaceDE/>
              <w:autoSpaceDN/>
              <w:adjustRightInd/>
              <w:jc w:val="center"/>
              <w:rPr>
                <w:color w:val="000000"/>
                <w:kern w:val="0"/>
                <w:sz w:val="18"/>
                <w:szCs w:val="18"/>
              </w:rPr>
            </w:pPr>
            <w:r>
              <w:rPr>
                <w:color w:val="000000"/>
                <w:kern w:val="0"/>
                <w:sz w:val="18"/>
                <w:szCs w:val="18"/>
              </w:rPr>
              <w:t>0.02%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705" w:hRule="atLeast"/>
        </w:trPr>
        <w:tc>
          <w:tcPr>
            <w:tcW w:w="2268" w:type="dxa"/>
            <w:vAlign w:val="center"/>
          </w:tcPr>
          <w:p>
            <w:pPr>
              <w:widowControl/>
              <w:spacing w:before="120" w:beforeLines="50" w:after="120" w:afterLines="50" w:line="240" w:lineRule="exact"/>
              <w:jc w:val="center"/>
              <w:rPr>
                <w:rFonts w:eastAsia="楷体_GB2312"/>
                <w:b/>
                <w:bCs/>
                <w:kern w:val="0"/>
              </w:rPr>
            </w:pPr>
            <w:r>
              <w:rPr>
                <w:rFonts w:eastAsia="楷体_GB2312"/>
                <w:b/>
                <w:bCs/>
                <w:kern w:val="0"/>
              </w:rPr>
              <w:t>　</w:t>
            </w:r>
          </w:p>
        </w:tc>
        <w:tc>
          <w:tcPr>
            <w:tcW w:w="851" w:type="dxa"/>
            <w:vAlign w:val="center"/>
          </w:tcPr>
          <w:p>
            <w:pPr>
              <w:widowControl/>
              <w:spacing w:before="120" w:beforeLines="50" w:after="120" w:afterLines="50" w:line="240" w:lineRule="exact"/>
              <w:jc w:val="center"/>
              <w:rPr>
                <w:rFonts w:eastAsia="楷体_GB2312"/>
                <w:b/>
                <w:bCs/>
                <w:kern w:val="0"/>
              </w:rPr>
            </w:pPr>
            <w:r>
              <w:rPr>
                <w:rFonts w:eastAsia="楷体_GB2312"/>
                <w:b/>
                <w:bCs/>
                <w:kern w:val="0"/>
              </w:rPr>
              <w:t>本收款期</w:t>
            </w:r>
          </w:p>
        </w:tc>
        <w:tc>
          <w:tcPr>
            <w:tcW w:w="1276" w:type="dxa"/>
            <w:vAlign w:val="center"/>
          </w:tcPr>
          <w:p>
            <w:pPr>
              <w:widowControl/>
              <w:spacing w:before="120" w:beforeLines="50" w:after="120" w:afterLines="50" w:line="240" w:lineRule="exact"/>
              <w:jc w:val="center"/>
              <w:rPr>
                <w:rFonts w:eastAsia="楷体_GB2312"/>
                <w:b/>
                <w:bCs/>
                <w:kern w:val="0"/>
              </w:rPr>
            </w:pPr>
            <w:r>
              <w:rPr>
                <w:rFonts w:eastAsia="楷体_GB2312"/>
                <w:b/>
                <w:bCs/>
                <w:kern w:val="0"/>
              </w:rPr>
              <w:t>上一收款期</w:t>
            </w:r>
          </w:p>
        </w:tc>
        <w:tc>
          <w:tcPr>
            <w:tcW w:w="1842" w:type="dxa"/>
            <w:gridSpan w:val="2"/>
            <w:vAlign w:val="center"/>
          </w:tcPr>
          <w:p>
            <w:pPr>
              <w:widowControl/>
              <w:spacing w:before="120" w:beforeLines="50" w:after="120" w:afterLines="50" w:line="240" w:lineRule="exact"/>
              <w:jc w:val="center"/>
              <w:rPr>
                <w:rFonts w:eastAsia="楷体_GB2312"/>
                <w:b/>
                <w:bCs/>
                <w:kern w:val="0"/>
              </w:rPr>
            </w:pPr>
            <w:r>
              <w:rPr>
                <w:rFonts w:eastAsia="楷体_GB2312"/>
                <w:b/>
                <w:bCs/>
                <w:kern w:val="0"/>
              </w:rPr>
              <w:t>再上一收款期</w:t>
            </w:r>
          </w:p>
        </w:tc>
        <w:tc>
          <w:tcPr>
            <w:tcW w:w="1985" w:type="dxa"/>
            <w:gridSpan w:val="2"/>
            <w:vAlign w:val="center"/>
          </w:tcPr>
          <w:p>
            <w:pPr>
              <w:widowControl/>
              <w:spacing w:before="120" w:beforeLines="50" w:after="120" w:afterLines="50" w:line="240" w:lineRule="exact"/>
              <w:jc w:val="center"/>
              <w:rPr>
                <w:rFonts w:eastAsia="楷体_GB2312"/>
                <w:b/>
                <w:bCs/>
                <w:kern w:val="0"/>
              </w:rPr>
            </w:pPr>
            <w:r>
              <w:rPr>
                <w:rFonts w:eastAsia="楷体_GB2312"/>
                <w:b/>
                <w:bCs/>
                <w:kern w:val="0"/>
              </w:rPr>
              <w:t>三个收款期平均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95" w:type="dxa"/>
          <w:trHeight w:val="285" w:hRule="atLeast"/>
        </w:trPr>
        <w:tc>
          <w:tcPr>
            <w:tcW w:w="2268" w:type="dxa"/>
            <w:vAlign w:val="center"/>
          </w:tcPr>
          <w:p>
            <w:pPr>
              <w:widowControl/>
              <w:spacing w:before="120" w:beforeLines="50" w:after="120" w:afterLines="50" w:line="240" w:lineRule="exact"/>
              <w:jc w:val="left"/>
              <w:rPr>
                <w:rFonts w:eastAsia="楷体_GB2312"/>
                <w:b/>
                <w:bCs/>
                <w:kern w:val="0"/>
              </w:rPr>
            </w:pPr>
            <w:r>
              <w:rPr>
                <w:rFonts w:eastAsia="楷体_GB2312"/>
                <w:b/>
                <w:bCs/>
                <w:kern w:val="0"/>
              </w:rPr>
              <w:t>严重拖欠率(%)</w:t>
            </w:r>
          </w:p>
        </w:tc>
        <w:tc>
          <w:tcPr>
            <w:tcW w:w="851" w:type="dxa"/>
            <w:vAlign w:val="center"/>
          </w:tcPr>
          <w:p>
            <w:pPr>
              <w:widowControl/>
              <w:autoSpaceDE/>
              <w:autoSpaceDN/>
              <w:adjustRightInd/>
              <w:jc w:val="center"/>
              <w:rPr>
                <w:color w:val="000000"/>
                <w:kern w:val="0"/>
                <w:sz w:val="18"/>
                <w:szCs w:val="18"/>
              </w:rPr>
            </w:pPr>
            <w:r>
              <w:rPr>
                <w:color w:val="000000"/>
                <w:kern w:val="0"/>
                <w:sz w:val="18"/>
                <w:szCs w:val="18"/>
              </w:rPr>
              <w:t>0</w:t>
            </w:r>
            <w:r>
              <w:rPr>
                <w:rFonts w:hint="eastAsia"/>
                <w:color w:val="000000"/>
                <w:kern w:val="0"/>
                <w:sz w:val="18"/>
                <w:szCs w:val="18"/>
              </w:rPr>
              <w:t>.07</w:t>
            </w:r>
            <w:r>
              <w:rPr>
                <w:color w:val="000000"/>
                <w:kern w:val="0"/>
                <w:sz w:val="18"/>
                <w:szCs w:val="18"/>
              </w:rPr>
              <w:t>%</w:t>
            </w:r>
          </w:p>
        </w:tc>
        <w:tc>
          <w:tcPr>
            <w:tcW w:w="1276" w:type="dxa"/>
            <w:vAlign w:val="center"/>
          </w:tcPr>
          <w:p>
            <w:pPr>
              <w:widowControl/>
              <w:autoSpaceDE/>
              <w:autoSpaceDN/>
              <w:adjustRightInd/>
              <w:jc w:val="center"/>
              <w:rPr>
                <w:color w:val="000000"/>
                <w:kern w:val="0"/>
                <w:sz w:val="18"/>
                <w:szCs w:val="18"/>
              </w:rPr>
            </w:pPr>
            <w:r>
              <w:rPr>
                <w:color w:val="000000"/>
                <w:kern w:val="0"/>
                <w:sz w:val="18"/>
                <w:szCs w:val="18"/>
              </w:rPr>
              <w:t>0</w:t>
            </w:r>
            <w:r>
              <w:rPr>
                <w:rFonts w:hint="eastAsia"/>
                <w:color w:val="000000"/>
                <w:kern w:val="0"/>
                <w:sz w:val="18"/>
                <w:szCs w:val="18"/>
              </w:rPr>
              <w:t>.02</w:t>
            </w:r>
            <w:r>
              <w:rPr>
                <w:color w:val="000000"/>
                <w:kern w:val="0"/>
                <w:sz w:val="18"/>
                <w:szCs w:val="18"/>
              </w:rPr>
              <w:t>%</w:t>
            </w:r>
          </w:p>
        </w:tc>
        <w:tc>
          <w:tcPr>
            <w:tcW w:w="1842" w:type="dxa"/>
            <w:gridSpan w:val="2"/>
            <w:vAlign w:val="center"/>
          </w:tcPr>
          <w:p>
            <w:pPr>
              <w:widowControl/>
              <w:autoSpaceDE/>
              <w:autoSpaceDN/>
              <w:adjustRightInd/>
              <w:jc w:val="center"/>
              <w:rPr>
                <w:color w:val="000000"/>
                <w:kern w:val="0"/>
                <w:sz w:val="18"/>
                <w:szCs w:val="18"/>
              </w:rPr>
            </w:pPr>
            <w:r>
              <w:rPr>
                <w:rFonts w:hint="eastAsia"/>
                <w:color w:val="000000"/>
                <w:kern w:val="0"/>
                <w:sz w:val="18"/>
                <w:szCs w:val="18"/>
              </w:rPr>
              <w:t>0</w:t>
            </w:r>
            <w:r>
              <w:rPr>
                <w:color w:val="000000"/>
                <w:kern w:val="0"/>
                <w:sz w:val="18"/>
                <w:szCs w:val="18"/>
              </w:rPr>
              <w:t>%</w:t>
            </w:r>
          </w:p>
        </w:tc>
        <w:tc>
          <w:tcPr>
            <w:tcW w:w="1985" w:type="dxa"/>
            <w:gridSpan w:val="2"/>
            <w:vAlign w:val="center"/>
          </w:tcPr>
          <w:p>
            <w:pPr>
              <w:widowControl/>
              <w:autoSpaceDE/>
              <w:autoSpaceDN/>
              <w:adjustRightInd/>
              <w:jc w:val="center"/>
              <w:rPr>
                <w:color w:val="000000"/>
                <w:kern w:val="0"/>
                <w:sz w:val="18"/>
                <w:szCs w:val="18"/>
              </w:rPr>
            </w:pPr>
            <w:r>
              <w:rPr>
                <w:color w:val="000000"/>
                <w:kern w:val="0"/>
                <w:sz w:val="18"/>
                <w:szCs w:val="18"/>
              </w:rPr>
              <w:t>0.0</w:t>
            </w:r>
            <w:r>
              <w:rPr>
                <w:rFonts w:hint="eastAsia"/>
                <w:color w:val="000000"/>
                <w:kern w:val="0"/>
                <w:sz w:val="18"/>
                <w:szCs w:val="18"/>
              </w:rPr>
              <w:t>3</w:t>
            </w:r>
            <w:r>
              <w:rPr>
                <w:color w:val="000000"/>
                <w:kern w:val="0"/>
                <w:sz w:val="18"/>
                <w:szCs w:val="18"/>
              </w:rPr>
              <w:t>%</w:t>
            </w:r>
          </w:p>
        </w:tc>
      </w:tr>
      <w:tr>
        <w:tblPrEx>
          <w:tblLayout w:type="fixed"/>
          <w:tblCellMar>
            <w:top w:w="0" w:type="dxa"/>
            <w:left w:w="108" w:type="dxa"/>
            <w:bottom w:w="0" w:type="dxa"/>
            <w:right w:w="108" w:type="dxa"/>
          </w:tblCellMar>
        </w:tblPrEx>
        <w:trPr>
          <w:gridAfter w:val="1"/>
          <w:wAfter w:w="195" w:type="dxa"/>
          <w:trHeight w:val="90" w:hRule="atLeast"/>
        </w:trPr>
        <w:tc>
          <w:tcPr>
            <w:tcW w:w="2268" w:type="dxa"/>
            <w:tcBorders>
              <w:top w:val="single" w:color="auto" w:sz="4" w:space="0"/>
            </w:tcBorders>
          </w:tcPr>
          <w:p>
            <w:pPr>
              <w:spacing w:line="380" w:lineRule="exact"/>
              <w:jc w:val="right"/>
              <w:rPr>
                <w:rFonts w:eastAsia="楷体_GB2312"/>
              </w:rPr>
            </w:pPr>
            <w:r>
              <w:rPr>
                <w:rFonts w:eastAsia="楷体_GB2312"/>
              </w:rPr>
              <w:t>说明：</w:t>
            </w:r>
          </w:p>
        </w:tc>
        <w:tc>
          <w:tcPr>
            <w:tcW w:w="5954" w:type="dxa"/>
            <w:gridSpan w:val="6"/>
            <w:tcBorders>
              <w:top w:val="single" w:color="auto" w:sz="4" w:space="0"/>
            </w:tcBorders>
          </w:tcPr>
          <w:p>
            <w:pPr>
              <w:spacing w:line="380" w:lineRule="exact"/>
              <w:rPr>
                <w:rFonts w:eastAsia="楷体_GB2312"/>
              </w:rPr>
            </w:pPr>
            <w:r>
              <w:rPr>
                <w:rFonts w:eastAsia="楷体_GB2312"/>
              </w:rPr>
              <w:t>本表金额单位为人民币元</w:t>
            </w:r>
          </w:p>
          <w:p>
            <w:pPr>
              <w:spacing w:line="380" w:lineRule="exact"/>
              <w:rPr>
                <w:rFonts w:eastAsia="楷体_GB2312"/>
              </w:rPr>
            </w:pPr>
            <w:r>
              <w:rPr>
                <w:rFonts w:eastAsia="楷体_GB2312"/>
              </w:rPr>
              <w:t>“累计违约时点违约贷款金额”指某一笔“违约贷款”在成为“违约贷款”的时点的“未偿本金余额”。</w:t>
            </w:r>
          </w:p>
          <w:p>
            <w:pPr>
              <w:spacing w:line="380" w:lineRule="exact"/>
              <w:rPr>
                <w:rFonts w:eastAsia="楷体_GB2312"/>
              </w:rPr>
            </w:pPr>
            <w:r>
              <w:rPr>
                <w:rFonts w:eastAsia="楷体_GB2312"/>
              </w:rPr>
              <w:t>“</w:t>
            </w:r>
            <w:r>
              <w:rPr>
                <w:rFonts w:hint="eastAsia" w:eastAsia="楷体_GB2312"/>
              </w:rPr>
              <w:t>累计违约率(%)</w:t>
            </w:r>
            <w:r>
              <w:rPr>
                <w:rFonts w:eastAsia="楷体_GB2312"/>
              </w:rPr>
              <w:t>”</w:t>
            </w:r>
            <w:r>
              <w:rPr>
                <w:rFonts w:hint="eastAsia" w:eastAsia="楷体_GB2312"/>
              </w:rPr>
              <w:t>指A/B所得的百分比，其中，A为该“收款期间”以及之前各“收款期间”内的所有“违约贷款”在成为“违约贷款”时的“未偿本金余额”之和，B为“初始起算日资产池本金余额”。</w:t>
            </w:r>
          </w:p>
          <w:p>
            <w:pPr>
              <w:spacing w:line="380" w:lineRule="exact"/>
              <w:rPr>
                <w:rFonts w:eastAsia="楷体_GB2312"/>
              </w:rPr>
            </w:pPr>
            <w:r>
              <w:rPr>
                <w:rFonts w:eastAsia="楷体_GB2312"/>
              </w:rPr>
              <w:t>“</w:t>
            </w:r>
            <w:r>
              <w:rPr>
                <w:rFonts w:hint="eastAsia" w:eastAsia="楷体_GB2312"/>
              </w:rPr>
              <w:t>严重拖欠率(%)</w:t>
            </w:r>
            <w:r>
              <w:rPr>
                <w:rFonts w:eastAsia="楷体_GB2312"/>
              </w:rPr>
              <w:t>”</w:t>
            </w:r>
            <w:r>
              <w:rPr>
                <w:rFonts w:hint="eastAsia" w:eastAsia="楷体_GB2312"/>
              </w:rPr>
              <w:t>A/B其中，A为本收款期间之最后一日日终时所有拖欠天数在（90，180]天之间的贷款余额之和，B为本收款期间之最后一日日终时资产池本金余额。</w:t>
            </w:r>
          </w:p>
          <w:p>
            <w:pPr>
              <w:spacing w:line="380" w:lineRule="exact"/>
              <w:rPr>
                <w:rFonts w:eastAsia="楷体_GB2312"/>
              </w:rPr>
            </w:pPr>
          </w:p>
        </w:tc>
      </w:tr>
      <w:tr>
        <w:tblPrEx>
          <w:tblLayout w:type="fixed"/>
          <w:tblCellMar>
            <w:top w:w="0" w:type="dxa"/>
            <w:left w:w="108" w:type="dxa"/>
            <w:bottom w:w="0" w:type="dxa"/>
            <w:right w:w="108" w:type="dxa"/>
          </w:tblCellMar>
        </w:tblPrEx>
        <w:trPr>
          <w:gridAfter w:val="1"/>
          <w:wAfter w:w="195" w:type="dxa"/>
          <w:trHeight w:val="390" w:hRule="atLeast"/>
        </w:trPr>
        <w:tc>
          <w:tcPr>
            <w:tcW w:w="8222" w:type="dxa"/>
            <w:gridSpan w:val="7"/>
          </w:tcPr>
          <w:p>
            <w:pPr>
              <w:spacing w:line="380" w:lineRule="exact"/>
              <w:rPr>
                <w:rFonts w:eastAsia="楷体_GB2312"/>
                <w:sz w:val="24"/>
              </w:rPr>
            </w:pPr>
            <w:r>
              <w:rPr>
                <w:rFonts w:eastAsia="楷体_GB2312"/>
                <w:sz w:val="24"/>
              </w:rPr>
              <w:t>贷款服务机构公章或业务管理部门章</w:t>
            </w:r>
          </w:p>
        </w:tc>
      </w:tr>
    </w:tbl>
    <w:p>
      <w:pPr>
        <w:spacing w:line="380" w:lineRule="exact"/>
        <w:rPr>
          <w:rFonts w:eastAsia="楷体_GB2312"/>
          <w:sz w:val="24"/>
        </w:rPr>
        <w:sectPr>
          <w:headerReference r:id="rId3" w:type="default"/>
          <w:footerReference r:id="rId4" w:type="default"/>
          <w:pgSz w:w="11906" w:h="16838"/>
          <w:pgMar w:top="1440" w:right="1800" w:bottom="1440" w:left="1800" w:header="720" w:footer="720" w:gutter="0"/>
          <w:pgNumType w:start="1"/>
          <w:cols w:space="720" w:num="1"/>
        </w:sectPr>
      </w:pPr>
    </w:p>
    <w:tbl>
      <w:tblPr>
        <w:tblStyle w:val="17"/>
        <w:tblW w:w="8528" w:type="dxa"/>
        <w:tblInd w:w="0" w:type="dxa"/>
        <w:tblLayout w:type="fixed"/>
        <w:tblCellMar>
          <w:top w:w="0" w:type="dxa"/>
          <w:left w:w="108" w:type="dxa"/>
          <w:bottom w:w="0" w:type="dxa"/>
          <w:right w:w="108" w:type="dxa"/>
        </w:tblCellMar>
      </w:tblPr>
      <w:tblGrid>
        <w:gridCol w:w="1810"/>
        <w:gridCol w:w="1700"/>
        <w:gridCol w:w="1702"/>
        <w:gridCol w:w="1561"/>
        <w:gridCol w:w="1755"/>
      </w:tblGrid>
      <w:tr>
        <w:tblPrEx>
          <w:tblLayout w:type="fixed"/>
          <w:tblCellMar>
            <w:top w:w="0" w:type="dxa"/>
            <w:left w:w="108" w:type="dxa"/>
            <w:bottom w:w="0" w:type="dxa"/>
            <w:right w:w="108" w:type="dxa"/>
          </w:tblCellMar>
        </w:tblPrEx>
        <w:tc>
          <w:tcPr>
            <w:tcW w:w="8528" w:type="dxa"/>
            <w:gridSpan w:val="5"/>
          </w:tcPr>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c>
          <w:tcPr>
            <w:tcW w:w="8528" w:type="dxa"/>
            <w:gridSpan w:val="5"/>
            <w:tcBorders>
              <w:bottom w:val="single" w:color="auto" w:sz="4" w:space="0"/>
            </w:tcBorders>
          </w:tcPr>
          <w:p>
            <w:pPr>
              <w:spacing w:line="380" w:lineRule="exact"/>
              <w:jc w:val="center"/>
              <w:rPr>
                <w:rFonts w:eastAsia="楷体_GB2312"/>
                <w:color w:val="000000"/>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c>
          <w:tcPr>
            <w:tcW w:w="8528" w:type="dxa"/>
            <w:gridSpan w:val="5"/>
            <w:tcBorders>
              <w:top w:val="single" w:color="auto" w:sz="4" w:space="0"/>
              <w:left w:val="single" w:color="auto" w:sz="4" w:space="0"/>
              <w:bottom w:val="single" w:color="auto" w:sz="4" w:space="0"/>
              <w:right w:val="single" w:color="auto" w:sz="4" w:space="0"/>
            </w:tcBorders>
            <w:shd w:val="clear" w:color="auto" w:fill="D9D9D9"/>
          </w:tcPr>
          <w:p>
            <w:pPr>
              <w:spacing w:line="380" w:lineRule="exact"/>
              <w:rPr>
                <w:rFonts w:eastAsia="楷体_GB2312"/>
                <w:sz w:val="24"/>
              </w:rPr>
            </w:pPr>
            <w:r>
              <w:rPr>
                <w:rFonts w:eastAsia="楷体_GB2312"/>
                <w:b/>
                <w:sz w:val="24"/>
              </w:rPr>
              <w:t>8、现金流归集表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8" w:type="dxa"/>
            <w:gridSpan w:val="5"/>
            <w:tcBorders>
              <w:top w:val="single" w:color="auto" w:sz="4" w:space="0"/>
              <w:bottom w:val="nil"/>
            </w:tcBorders>
          </w:tcPr>
          <w:p>
            <w:pPr>
              <w:spacing w:line="380" w:lineRule="atLeast"/>
              <w:rPr>
                <w:rFonts w:eastAsia="楷体_GB2312"/>
              </w:rPr>
            </w:pPr>
            <w:r>
              <w:rPr>
                <w:rFonts w:eastAsia="楷体_GB2312"/>
              </w:rPr>
              <w:t xml:space="preserve">正常情景下，指按摊还计划对每个收款期间现金流进行归集，不考虑早偿、拖欠、违约、回收等情况。若在此报告时点已经发生的早偿贷款则应该从现金流摊还计划表中剔除） </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shd w:val="clear" w:color="auto" w:fill="CCC0D9"/>
          </w:tcPr>
          <w:p>
            <w:pPr>
              <w:widowControl/>
              <w:autoSpaceDE/>
              <w:autoSpaceDN/>
              <w:adjustRightInd/>
              <w:rPr>
                <w:rFonts w:ascii="楷体_GB2312" w:hAnsi="宋体" w:eastAsia="楷体_GB2312" w:cs="宋体"/>
                <w:b/>
                <w:bCs/>
                <w:color w:val="000000"/>
                <w:kern w:val="0"/>
                <w:sz w:val="18"/>
                <w:szCs w:val="18"/>
              </w:rPr>
            </w:pPr>
            <w:r>
              <w:rPr>
                <w:rFonts w:ascii="楷体_GB2312" w:hAnsi="宋体" w:eastAsia="楷体_GB2312" w:cs="宋体"/>
                <w:b/>
                <w:bCs/>
                <w:color w:val="000000"/>
                <w:kern w:val="0"/>
                <w:sz w:val="18"/>
                <w:szCs w:val="18"/>
              </w:rPr>
              <w:t>计算日</w:t>
            </w:r>
          </w:p>
        </w:tc>
        <w:tc>
          <w:tcPr>
            <w:tcW w:w="1700" w:type="dxa"/>
            <w:tcBorders>
              <w:top w:val="single" w:color="auto" w:sz="4" w:space="0"/>
              <w:left w:val="single" w:color="auto" w:sz="4" w:space="0"/>
              <w:bottom w:val="single" w:color="auto" w:sz="4" w:space="0"/>
              <w:right w:val="single" w:color="auto" w:sz="4" w:space="0"/>
            </w:tcBorders>
            <w:shd w:val="clear" w:color="auto" w:fill="CCC0D9"/>
          </w:tcPr>
          <w:p>
            <w:pPr>
              <w:widowControl/>
              <w:autoSpaceDE/>
              <w:autoSpaceDN/>
              <w:adjustRightInd/>
              <w:rPr>
                <w:rFonts w:ascii="楷体_GB2312" w:hAnsi="宋体" w:eastAsia="楷体_GB2312" w:cs="宋体"/>
                <w:b/>
                <w:bCs/>
                <w:color w:val="000000"/>
                <w:kern w:val="0"/>
                <w:sz w:val="18"/>
                <w:szCs w:val="18"/>
              </w:rPr>
            </w:pPr>
            <w:r>
              <w:rPr>
                <w:rFonts w:ascii="楷体_GB2312" w:hAnsi="宋体" w:eastAsia="楷体_GB2312" w:cs="宋体"/>
                <w:b/>
                <w:bCs/>
                <w:color w:val="000000"/>
                <w:kern w:val="0"/>
                <w:sz w:val="18"/>
                <w:szCs w:val="18"/>
              </w:rPr>
              <w:t>期初本金总余额</w:t>
            </w:r>
          </w:p>
        </w:tc>
        <w:tc>
          <w:tcPr>
            <w:tcW w:w="1702" w:type="dxa"/>
            <w:tcBorders>
              <w:top w:val="single" w:color="auto" w:sz="4" w:space="0"/>
              <w:left w:val="single" w:color="auto" w:sz="4" w:space="0"/>
              <w:bottom w:val="single" w:color="auto" w:sz="4" w:space="0"/>
              <w:right w:val="single" w:color="auto" w:sz="4" w:space="0"/>
            </w:tcBorders>
            <w:shd w:val="clear" w:color="auto" w:fill="CCC0D9"/>
          </w:tcPr>
          <w:p>
            <w:pPr>
              <w:widowControl/>
              <w:autoSpaceDE/>
              <w:autoSpaceDN/>
              <w:adjustRightInd/>
              <w:rPr>
                <w:rFonts w:ascii="楷体_GB2312" w:hAnsi="宋体" w:eastAsia="楷体_GB2312" w:cs="宋体"/>
                <w:b/>
                <w:bCs/>
                <w:color w:val="000000"/>
                <w:kern w:val="0"/>
                <w:sz w:val="18"/>
                <w:szCs w:val="18"/>
              </w:rPr>
            </w:pPr>
            <w:r>
              <w:rPr>
                <w:rFonts w:ascii="楷体_GB2312" w:hAnsi="宋体" w:eastAsia="楷体_GB2312" w:cs="宋体"/>
                <w:b/>
                <w:bCs/>
                <w:color w:val="000000"/>
                <w:kern w:val="0"/>
                <w:sz w:val="18"/>
                <w:szCs w:val="18"/>
              </w:rPr>
              <w:t>本期应收本金</w:t>
            </w:r>
          </w:p>
        </w:tc>
        <w:tc>
          <w:tcPr>
            <w:tcW w:w="1561" w:type="dxa"/>
            <w:tcBorders>
              <w:top w:val="single" w:color="auto" w:sz="4" w:space="0"/>
              <w:left w:val="single" w:color="auto" w:sz="4" w:space="0"/>
              <w:bottom w:val="single" w:color="auto" w:sz="4" w:space="0"/>
              <w:right w:val="single" w:color="auto" w:sz="4" w:space="0"/>
            </w:tcBorders>
            <w:shd w:val="clear" w:color="auto" w:fill="CCC0D9"/>
          </w:tcPr>
          <w:p>
            <w:pPr>
              <w:widowControl/>
              <w:autoSpaceDE/>
              <w:autoSpaceDN/>
              <w:adjustRightInd/>
              <w:rPr>
                <w:rFonts w:ascii="楷体_GB2312" w:hAnsi="宋体" w:eastAsia="楷体_GB2312" w:cs="宋体"/>
                <w:b/>
                <w:bCs/>
                <w:color w:val="000000"/>
                <w:kern w:val="0"/>
                <w:sz w:val="18"/>
                <w:szCs w:val="18"/>
              </w:rPr>
            </w:pPr>
            <w:r>
              <w:rPr>
                <w:rFonts w:ascii="楷体_GB2312" w:hAnsi="宋体" w:eastAsia="楷体_GB2312" w:cs="宋体"/>
                <w:b/>
                <w:bCs/>
                <w:color w:val="000000"/>
                <w:kern w:val="0"/>
                <w:sz w:val="18"/>
                <w:szCs w:val="18"/>
              </w:rPr>
              <w:t>本期应收利息</w:t>
            </w:r>
          </w:p>
        </w:tc>
        <w:tc>
          <w:tcPr>
            <w:tcW w:w="1755" w:type="dxa"/>
            <w:tcBorders>
              <w:top w:val="single" w:color="auto" w:sz="4" w:space="0"/>
              <w:left w:val="single" w:color="auto" w:sz="4" w:space="0"/>
              <w:bottom w:val="single" w:color="auto" w:sz="4" w:space="0"/>
              <w:right w:val="single" w:color="auto" w:sz="4" w:space="0"/>
            </w:tcBorders>
            <w:shd w:val="clear" w:color="auto" w:fill="CCC0D9"/>
          </w:tcPr>
          <w:p>
            <w:pPr>
              <w:widowControl/>
              <w:autoSpaceDE/>
              <w:autoSpaceDN/>
              <w:adjustRightInd/>
              <w:rPr>
                <w:rFonts w:ascii="楷体_GB2312" w:hAnsi="宋体" w:eastAsia="楷体_GB2312" w:cs="宋体"/>
                <w:b/>
                <w:bCs/>
                <w:color w:val="000000"/>
                <w:kern w:val="0"/>
                <w:sz w:val="18"/>
                <w:szCs w:val="18"/>
              </w:rPr>
            </w:pPr>
            <w:r>
              <w:rPr>
                <w:rFonts w:ascii="楷体_GB2312" w:hAnsi="宋体" w:eastAsia="楷体_GB2312" w:cs="宋体"/>
                <w:b/>
                <w:bCs/>
                <w:color w:val="000000"/>
                <w:kern w:val="0"/>
                <w:sz w:val="18"/>
                <w:szCs w:val="18"/>
              </w:rPr>
              <w:t>期末本金总余额</w:t>
            </w:r>
          </w:p>
        </w:tc>
      </w:tr>
      <w:tr>
        <w:tblPrEx>
          <w:tblLayout w:type="fixed"/>
          <w:tblCellMar>
            <w:top w:w="0" w:type="dxa"/>
            <w:left w:w="108" w:type="dxa"/>
            <w:bottom w:w="0" w:type="dxa"/>
            <w:right w:w="108" w:type="dxa"/>
          </w:tblCellMar>
        </w:tblPrEx>
        <w:trPr>
          <w:trHeight w:val="450" w:hRule="atLeast"/>
        </w:trPr>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2017年10月31日</w:t>
            </w:r>
          </w:p>
        </w:tc>
        <w:tc>
          <w:tcPr>
            <w:tcW w:w="1700"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2,201,109,004.55</w:t>
            </w:r>
          </w:p>
        </w:tc>
        <w:tc>
          <w:tcPr>
            <w:tcW w:w="1702"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408,152,527.91</w:t>
            </w:r>
          </w:p>
        </w:tc>
        <w:tc>
          <w:tcPr>
            <w:tcW w:w="1561"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56,271,337.29</w:t>
            </w:r>
          </w:p>
        </w:tc>
        <w:tc>
          <w:tcPr>
            <w:tcW w:w="1755"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1,784,961,809.07</w:t>
            </w:r>
          </w:p>
        </w:tc>
      </w:tr>
      <w:tr>
        <w:tblPrEx>
          <w:tblLayout w:type="fixed"/>
          <w:tblCellMar>
            <w:top w:w="0" w:type="dxa"/>
            <w:left w:w="108" w:type="dxa"/>
            <w:bottom w:w="0" w:type="dxa"/>
            <w:right w:w="108" w:type="dxa"/>
          </w:tblCellMar>
        </w:tblPrEx>
        <w:trPr>
          <w:trHeight w:val="464" w:hRule="atLeast"/>
        </w:trPr>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2017年11月30日</w:t>
            </w:r>
          </w:p>
        </w:tc>
        <w:tc>
          <w:tcPr>
            <w:tcW w:w="1700"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1,784,961,809.07</w:t>
            </w:r>
          </w:p>
        </w:tc>
        <w:tc>
          <w:tcPr>
            <w:tcW w:w="1702"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15,831,750.45</w:t>
            </w:r>
          </w:p>
        </w:tc>
        <w:tc>
          <w:tcPr>
            <w:tcW w:w="1561" w:type="dxa"/>
            <w:tcBorders>
              <w:top w:val="single" w:color="auto" w:sz="4" w:space="0"/>
              <w:left w:val="single" w:color="auto" w:sz="4" w:space="0"/>
              <w:bottom w:val="single" w:color="auto" w:sz="4" w:space="0"/>
              <w:right w:val="single" w:color="auto" w:sz="4" w:space="0"/>
            </w:tcBorders>
          </w:tcPr>
          <w:p>
            <w:pPr>
              <w:spacing w:line="380" w:lineRule="atLeast"/>
              <w:jc w:val="left"/>
              <w:rPr>
                <w:rFonts w:eastAsia="楷体_GB2312"/>
              </w:rPr>
            </w:pPr>
            <w:r>
              <w:rPr>
                <w:rFonts w:eastAsia="楷体_GB2312"/>
              </w:rPr>
              <w:t>6,740,391.88</w:t>
            </w:r>
          </w:p>
        </w:tc>
        <w:tc>
          <w:tcPr>
            <w:tcW w:w="1755"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1,755,293,721.89</w:t>
            </w:r>
          </w:p>
        </w:tc>
      </w:tr>
      <w:tr>
        <w:tblPrEx>
          <w:tblLayout w:type="fixed"/>
          <w:tblCellMar>
            <w:top w:w="0" w:type="dxa"/>
            <w:left w:w="108" w:type="dxa"/>
            <w:bottom w:w="0" w:type="dxa"/>
            <w:right w:w="108" w:type="dxa"/>
          </w:tblCellMar>
        </w:tblPrEx>
        <w:trPr>
          <w:trHeight w:val="415" w:hRule="atLeast"/>
        </w:trPr>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2017年12月31日</w:t>
            </w:r>
          </w:p>
        </w:tc>
        <w:tc>
          <w:tcPr>
            <w:tcW w:w="1700"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1,755,293,721.89</w:t>
            </w:r>
          </w:p>
        </w:tc>
        <w:tc>
          <w:tcPr>
            <w:tcW w:w="1702"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15,423,008.78</w:t>
            </w:r>
          </w:p>
        </w:tc>
        <w:tc>
          <w:tcPr>
            <w:tcW w:w="1561"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6,627,762.91</w:t>
            </w:r>
          </w:p>
        </w:tc>
        <w:tc>
          <w:tcPr>
            <w:tcW w:w="1755"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1,730,256,562.64</w:t>
            </w:r>
          </w:p>
        </w:tc>
      </w:tr>
      <w:tr>
        <w:tblPrEx>
          <w:tblLayout w:type="fixed"/>
          <w:tblCellMar>
            <w:top w:w="0" w:type="dxa"/>
            <w:left w:w="108" w:type="dxa"/>
            <w:bottom w:w="0" w:type="dxa"/>
            <w:right w:w="108" w:type="dxa"/>
          </w:tblCellMar>
        </w:tblPrEx>
        <w:trPr>
          <w:trHeight w:val="448" w:hRule="atLeast"/>
        </w:trPr>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2018年1月31日</w:t>
            </w:r>
          </w:p>
        </w:tc>
        <w:tc>
          <w:tcPr>
            <w:tcW w:w="1700"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1,730,256,562.64</w:t>
            </w:r>
          </w:p>
        </w:tc>
        <w:tc>
          <w:tcPr>
            <w:tcW w:w="1702"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15,326,602.81</w:t>
            </w:r>
          </w:p>
        </w:tc>
        <w:tc>
          <w:tcPr>
            <w:tcW w:w="1561"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6,531,490.96</w:t>
            </w:r>
          </w:p>
        </w:tc>
        <w:tc>
          <w:tcPr>
            <w:tcW w:w="1755"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1,699,461,987.10</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2018年2月28日</w:t>
            </w:r>
          </w:p>
        </w:tc>
        <w:tc>
          <w:tcPr>
            <w:tcW w:w="1700"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1,699,461,987.10</w:t>
            </w:r>
          </w:p>
        </w:tc>
        <w:tc>
          <w:tcPr>
            <w:tcW w:w="1702"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15,157,409.71</w:t>
            </w:r>
          </w:p>
        </w:tc>
        <w:tc>
          <w:tcPr>
            <w:tcW w:w="1561"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6,419,874.48</w:t>
            </w:r>
          </w:p>
        </w:tc>
        <w:tc>
          <w:tcPr>
            <w:tcW w:w="1755" w:type="dxa"/>
            <w:tcBorders>
              <w:top w:val="single" w:color="auto" w:sz="4" w:space="0"/>
              <w:left w:val="single" w:color="auto" w:sz="4" w:space="0"/>
              <w:bottom w:val="single" w:color="auto" w:sz="4" w:space="0"/>
              <w:right w:val="single" w:color="auto" w:sz="4" w:space="0"/>
            </w:tcBorders>
          </w:tcPr>
          <w:p>
            <w:pPr>
              <w:spacing w:line="380" w:lineRule="exact"/>
              <w:jc w:val="left"/>
              <w:rPr>
                <w:rFonts w:eastAsia="楷体_GB2312"/>
              </w:rPr>
            </w:pPr>
            <w:r>
              <w:rPr>
                <w:rFonts w:eastAsia="楷体_GB2312"/>
              </w:rPr>
              <w:t>1,674,470,488.75</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2018年3月31日</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1,674,470,488.75</w:t>
            </w: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14,981,066.36</w:t>
            </w: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6,315,433.08</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1,639,774,254.84</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2018年4月30日</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1,639,774,254.84</w:t>
            </w: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14,753,948.78</w:t>
            </w: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6,182,400.43</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1,602,946,937.83</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2018年5月31日</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1,602,946,937.83</w:t>
            </w: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14,595,880.68</w:t>
            </w: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6,047,933.23</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1,569,132,132.95</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2018年6月30日</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1,569,132,132.95</w:t>
            </w: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14,466,956.91</w:t>
            </w: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5,915,516.89</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1,534,687,703.38</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w:t>
            </w:r>
            <w:r>
              <w:rPr>
                <w:rFonts w:hint="eastAsia" w:eastAsia="楷体_GB2312"/>
              </w:rPr>
              <w:t>年</w:t>
            </w:r>
            <w:r>
              <w:rPr>
                <w:rFonts w:eastAsia="楷体_GB2312"/>
              </w:rPr>
              <w:t>7</w:t>
            </w:r>
            <w:r>
              <w:rPr>
                <w:rFonts w:hint="eastAsia" w:eastAsia="楷体_GB2312"/>
              </w:rPr>
              <w:t>月</w:t>
            </w:r>
            <w:r>
              <w:rPr>
                <w:rFonts w:eastAsia="楷体_GB2312"/>
              </w:rPr>
              <w:t>31</w:t>
            </w:r>
            <w:r>
              <w:rPr>
                <w:rFonts w:hint="eastAsia" w:eastAsia="楷体_GB2312"/>
              </w:rPr>
              <w:t>日</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1,534,687,703.38</w:t>
            </w: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14,306,792.58</w:t>
            </w: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5,793,418.95</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1,498,769,273.96</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w:t>
            </w:r>
            <w:r>
              <w:rPr>
                <w:rFonts w:hint="eastAsia" w:eastAsia="楷体_GB2312"/>
              </w:rPr>
              <w:t>年</w:t>
            </w:r>
            <w:r>
              <w:rPr>
                <w:rFonts w:eastAsia="楷体_GB2312"/>
              </w:rPr>
              <w:t>8</w:t>
            </w:r>
            <w:r>
              <w:rPr>
                <w:rFonts w:hint="eastAsia" w:eastAsia="楷体_GB2312"/>
              </w:rPr>
              <w:t>月</w:t>
            </w:r>
            <w:r>
              <w:rPr>
                <w:rFonts w:eastAsia="楷体_GB2312"/>
              </w:rPr>
              <w:t>31</w:t>
            </w:r>
            <w:r>
              <w:rPr>
                <w:rFonts w:hint="eastAsia" w:eastAsia="楷体_GB2312"/>
              </w:rPr>
              <w:t>日</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1,498,769,273.96</w:t>
            </w: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14,151,142.07</w:t>
            </w: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5,652,282.70</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1,468,581,555.08</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w:t>
            </w:r>
            <w:r>
              <w:rPr>
                <w:rFonts w:hint="eastAsia" w:eastAsia="楷体_GB2312"/>
              </w:rPr>
              <w:t>年</w:t>
            </w:r>
            <w:r>
              <w:rPr>
                <w:rFonts w:eastAsia="楷体_GB2312"/>
              </w:rPr>
              <w:t>9</w:t>
            </w:r>
            <w:r>
              <w:rPr>
                <w:rFonts w:hint="eastAsia" w:eastAsia="楷体_GB2312"/>
              </w:rPr>
              <w:t>月</w:t>
            </w:r>
            <w:r>
              <w:rPr>
                <w:rFonts w:eastAsia="楷体_GB2312"/>
              </w:rPr>
              <w:t>30</w:t>
            </w:r>
            <w:r>
              <w:rPr>
                <w:rFonts w:hint="eastAsia" w:eastAsia="楷体_GB2312"/>
              </w:rPr>
              <w:t>日</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1,468,581,555.08</w:t>
            </w: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14,010,139.93</w:t>
            </w: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5,552,251.97</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1,446,142,175.28</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w:t>
            </w:r>
            <w:r>
              <w:rPr>
                <w:rFonts w:hint="eastAsia" w:eastAsia="楷体_GB2312"/>
              </w:rPr>
              <w:t>年10月</w:t>
            </w:r>
            <w:r>
              <w:rPr>
                <w:rFonts w:eastAsia="楷体_GB2312"/>
              </w:rPr>
              <w:t>3</w:t>
            </w:r>
            <w:r>
              <w:rPr>
                <w:rFonts w:hint="eastAsia" w:eastAsia="楷体_GB2312"/>
              </w:rPr>
              <w:t>1日</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1,446,142,175.28</w:t>
            </w: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13,886,010.86</w:t>
            </w: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5,463,289.30</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1,418,062,751.36</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jc w:val="left"/>
              <w:rPr>
                <w:rFonts w:eastAsia="楷体_GB2312"/>
              </w:rPr>
            </w:pPr>
            <w:r>
              <w:rPr>
                <w:rFonts w:eastAsia="楷体_GB2312"/>
              </w:rPr>
              <w:t>2018</w:t>
            </w:r>
            <w:r>
              <w:rPr>
                <w:rFonts w:hint="eastAsia" w:eastAsia="楷体_GB2312"/>
              </w:rPr>
              <w:t>年</w:t>
            </w:r>
            <w:r>
              <w:rPr>
                <w:rFonts w:eastAsia="楷体_GB2312"/>
              </w:rPr>
              <w:t>11</w:t>
            </w:r>
            <w:r>
              <w:rPr>
                <w:rFonts w:hint="eastAsia" w:eastAsia="楷体_GB2312"/>
              </w:rPr>
              <w:t>月</w:t>
            </w:r>
            <w:r>
              <w:rPr>
                <w:rFonts w:eastAsia="楷体_GB2312"/>
              </w:rPr>
              <w:t>30</w:t>
            </w:r>
            <w:r>
              <w:rPr>
                <w:rFonts w:hint="eastAsia" w:eastAsia="楷体_GB2312"/>
              </w:rPr>
              <w:t>日</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rPr>
                <w:rFonts w:eastAsia="楷体_GB2312"/>
              </w:rPr>
            </w:pPr>
            <w:r>
              <w:rPr>
                <w:rFonts w:eastAsia="楷体_GB2312"/>
              </w:rPr>
              <w:t>1,418,062,751.36</w:t>
            </w: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rPr>
                <w:rFonts w:eastAsia="楷体_GB2312"/>
              </w:rPr>
            </w:pPr>
            <w:r>
              <w:rPr>
                <w:rFonts w:eastAsia="楷体_GB2312"/>
              </w:rPr>
              <w:t>13,777,692.21</w:t>
            </w: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rPr>
                <w:rFonts w:eastAsia="楷体_GB2312"/>
              </w:rPr>
            </w:pPr>
            <w:r>
              <w:rPr>
                <w:rFonts w:eastAsia="楷体_GB2312"/>
              </w:rPr>
              <w:t>5,354,641.37</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rPr>
                <w:rFonts w:eastAsia="楷体_GB2312"/>
              </w:rPr>
            </w:pPr>
            <w:r>
              <w:rPr>
                <w:rFonts w:eastAsia="楷体_GB2312"/>
              </w:rPr>
              <w:t>1,395,371,988.50</w:t>
            </w:r>
          </w:p>
        </w:tc>
      </w:tr>
      <w:tr>
        <w:tblPrEx>
          <w:tblLayout w:type="fixed"/>
          <w:tblCellMar>
            <w:top w:w="0" w:type="dxa"/>
            <w:left w:w="108" w:type="dxa"/>
            <w:bottom w:w="0" w:type="dxa"/>
            <w:right w:w="108" w:type="dxa"/>
          </w:tblCellMar>
        </w:tblPrEx>
        <w:tc>
          <w:tcPr>
            <w:tcW w:w="1810" w:type="dxa"/>
            <w:tcBorders>
              <w:top w:val="single" w:color="auto" w:sz="4" w:space="0"/>
              <w:left w:val="single" w:color="auto" w:sz="4" w:space="0"/>
              <w:bottom w:val="single" w:color="auto" w:sz="4" w:space="0"/>
              <w:right w:val="single" w:color="auto" w:sz="4" w:space="0"/>
            </w:tcBorders>
            <w:vAlign w:val="center"/>
          </w:tcPr>
          <w:p>
            <w:pPr>
              <w:spacing w:line="380" w:lineRule="exact"/>
              <w:rPr>
                <w:rFonts w:eastAsia="楷体_GB2312"/>
              </w:rPr>
            </w:pPr>
          </w:p>
        </w:tc>
        <w:tc>
          <w:tcPr>
            <w:tcW w:w="1700" w:type="dxa"/>
            <w:tcBorders>
              <w:top w:val="single" w:color="auto" w:sz="4" w:space="0"/>
              <w:left w:val="single" w:color="auto" w:sz="4" w:space="0"/>
              <w:bottom w:val="single" w:color="auto" w:sz="4" w:space="0"/>
              <w:right w:val="single" w:color="auto" w:sz="4" w:space="0"/>
            </w:tcBorders>
            <w:vAlign w:val="center"/>
          </w:tcPr>
          <w:p>
            <w:pPr>
              <w:spacing w:line="380" w:lineRule="exact"/>
              <w:jc w:val="center"/>
              <w:rPr>
                <w:rFonts w:eastAsia="楷体_GB2312"/>
              </w:rPr>
            </w:pPr>
          </w:p>
        </w:tc>
        <w:tc>
          <w:tcPr>
            <w:tcW w:w="1702" w:type="dxa"/>
            <w:tcBorders>
              <w:top w:val="single" w:color="auto" w:sz="4" w:space="0"/>
              <w:left w:val="single" w:color="auto" w:sz="4" w:space="0"/>
              <w:bottom w:val="single" w:color="auto" w:sz="4" w:space="0"/>
              <w:right w:val="single" w:color="auto" w:sz="4" w:space="0"/>
            </w:tcBorders>
            <w:vAlign w:val="center"/>
          </w:tcPr>
          <w:p>
            <w:pPr>
              <w:spacing w:line="380" w:lineRule="exact"/>
              <w:rPr>
                <w:rFonts w:eastAsia="楷体_GB2312"/>
              </w:rPr>
            </w:pPr>
          </w:p>
        </w:tc>
        <w:tc>
          <w:tcPr>
            <w:tcW w:w="1561" w:type="dxa"/>
            <w:tcBorders>
              <w:top w:val="single" w:color="auto" w:sz="4" w:space="0"/>
              <w:left w:val="single" w:color="auto" w:sz="4" w:space="0"/>
              <w:bottom w:val="single" w:color="auto" w:sz="4" w:space="0"/>
              <w:right w:val="single" w:color="auto" w:sz="4" w:space="0"/>
            </w:tcBorders>
            <w:vAlign w:val="center"/>
          </w:tcPr>
          <w:p>
            <w:pPr>
              <w:spacing w:line="380" w:lineRule="exact"/>
              <w:rPr>
                <w:rFonts w:eastAsia="楷体_GB2312"/>
              </w:rPr>
            </w:pPr>
          </w:p>
        </w:tc>
        <w:tc>
          <w:tcPr>
            <w:tcW w:w="1755" w:type="dxa"/>
            <w:tcBorders>
              <w:top w:val="single" w:color="auto" w:sz="4" w:space="0"/>
              <w:left w:val="single" w:color="auto" w:sz="4" w:space="0"/>
              <w:bottom w:val="single" w:color="auto" w:sz="4" w:space="0"/>
              <w:right w:val="single" w:color="auto" w:sz="4" w:space="0"/>
            </w:tcBorders>
            <w:vAlign w:val="center"/>
          </w:tcPr>
          <w:p>
            <w:pPr>
              <w:spacing w:line="380" w:lineRule="exact"/>
              <w:jc w:val="center"/>
              <w:rPr>
                <w:rFonts w:eastAsia="楷体_GB2312"/>
              </w:rPr>
            </w:pPr>
          </w:p>
        </w:tc>
      </w:tr>
      <w:tr>
        <w:tblPrEx>
          <w:tblLayout w:type="fixed"/>
          <w:tblCellMar>
            <w:top w:w="0" w:type="dxa"/>
            <w:left w:w="108" w:type="dxa"/>
            <w:bottom w:w="0" w:type="dxa"/>
            <w:right w:w="108" w:type="dxa"/>
          </w:tblCellMar>
        </w:tblPrEx>
        <w:trPr>
          <w:trHeight w:val="390" w:hRule="atLeast"/>
        </w:trPr>
        <w:tc>
          <w:tcPr>
            <w:tcW w:w="8528" w:type="dxa"/>
            <w:gridSpan w:val="5"/>
            <w:tcBorders>
              <w:top w:val="single" w:color="auto" w:sz="4" w:space="0"/>
            </w:tcBorders>
          </w:tcPr>
          <w:p>
            <w:pPr>
              <w:spacing w:line="380" w:lineRule="exact"/>
              <w:jc w:val="left"/>
              <w:rPr>
                <w:rFonts w:eastAsia="楷体_GB2312"/>
              </w:rPr>
            </w:pPr>
            <w:r>
              <w:rPr>
                <w:rFonts w:eastAsia="楷体_GB2312"/>
              </w:rPr>
              <w:t>说明：本表金额单位为人民币元</w:t>
            </w:r>
          </w:p>
        </w:tc>
      </w:tr>
      <w:tr>
        <w:tblPrEx>
          <w:tblLayout w:type="fixed"/>
          <w:tblCellMar>
            <w:top w:w="0" w:type="dxa"/>
            <w:left w:w="108" w:type="dxa"/>
            <w:bottom w:w="0" w:type="dxa"/>
            <w:right w:w="108" w:type="dxa"/>
          </w:tblCellMar>
        </w:tblPrEx>
        <w:trPr>
          <w:trHeight w:val="390" w:hRule="atLeast"/>
        </w:trPr>
        <w:tc>
          <w:tcPr>
            <w:tcW w:w="8528" w:type="dxa"/>
            <w:gridSpan w:val="5"/>
          </w:tcPr>
          <w:p>
            <w:pPr>
              <w:spacing w:line="380" w:lineRule="exact"/>
              <w:jc w:val="left"/>
              <w:rPr>
                <w:rFonts w:eastAsia="楷体_GB2312"/>
                <w:sz w:val="24"/>
              </w:rPr>
            </w:pPr>
            <w:r>
              <w:rPr>
                <w:rFonts w:eastAsia="楷体_GB2312"/>
                <w:sz w:val="24"/>
              </w:rPr>
              <w:t>贷款服务机构公章或业务管理部门章</w:t>
            </w:r>
          </w:p>
        </w:tc>
      </w:tr>
    </w:tbl>
    <w:p>
      <w:pPr>
        <w:spacing w:line="380" w:lineRule="exact"/>
        <w:rPr>
          <w:rFonts w:eastAsia="楷体_GB2312"/>
          <w:sz w:val="24"/>
        </w:rPr>
      </w:pPr>
    </w:p>
    <w:p>
      <w:pPr>
        <w:widowControl/>
        <w:autoSpaceDE/>
        <w:autoSpaceDN/>
        <w:adjustRightInd/>
        <w:jc w:val="center"/>
        <w:rPr>
          <w:rFonts w:eastAsia="楷体_GB2312"/>
          <w:bCs/>
          <w:kern w:val="0"/>
          <w:sz w:val="24"/>
          <w:szCs w:val="24"/>
        </w:rPr>
        <w:sectPr>
          <w:pgSz w:w="11906" w:h="16838"/>
          <w:pgMar w:top="1440" w:right="1797" w:bottom="1440" w:left="1797" w:header="851" w:footer="992" w:gutter="0"/>
          <w:cols w:space="720" w:num="1"/>
          <w:docGrid w:type="linesAndChars" w:linePitch="312" w:charSpace="0"/>
        </w:sectPr>
      </w:pPr>
    </w:p>
    <w:p>
      <w:pPr>
        <w:widowControl/>
        <w:autoSpaceDE/>
        <w:autoSpaceDN/>
        <w:adjustRightInd/>
        <w:jc w:val="center"/>
        <w:rPr>
          <w:rFonts w:eastAsia="楷体_GB2312"/>
          <w:b/>
          <w:bCs/>
          <w:i/>
          <w:kern w:val="0"/>
          <w:sz w:val="24"/>
          <w:szCs w:val="24"/>
        </w:rPr>
        <w:sectPr>
          <w:type w:val="continuous"/>
          <w:pgSz w:w="11906" w:h="16838"/>
          <w:pgMar w:top="1440" w:right="1797" w:bottom="1440" w:left="1797" w:header="851" w:footer="992" w:gutter="0"/>
          <w:cols w:space="720" w:num="1"/>
          <w:docGrid w:type="linesAndChars" w:linePitch="312" w:charSpace="0"/>
        </w:sectPr>
      </w:pPr>
    </w:p>
    <w:tbl>
      <w:tblPr>
        <w:tblStyle w:val="17"/>
        <w:tblW w:w="9435" w:type="dxa"/>
        <w:tblInd w:w="1976" w:type="dxa"/>
        <w:tblLayout w:type="fixed"/>
        <w:tblCellMar>
          <w:top w:w="0" w:type="dxa"/>
          <w:left w:w="108" w:type="dxa"/>
          <w:bottom w:w="0" w:type="dxa"/>
          <w:right w:w="108" w:type="dxa"/>
        </w:tblCellMar>
      </w:tblPr>
      <w:tblGrid>
        <w:gridCol w:w="9435"/>
      </w:tblGrid>
      <w:tr>
        <w:tblPrEx>
          <w:tblLayout w:type="fixed"/>
          <w:tblCellMar>
            <w:top w:w="0" w:type="dxa"/>
            <w:left w:w="108" w:type="dxa"/>
            <w:bottom w:w="0" w:type="dxa"/>
            <w:right w:w="108" w:type="dxa"/>
          </w:tblCellMar>
        </w:tblPrEx>
        <w:trPr>
          <w:trHeight w:val="681" w:hRule="atLeast"/>
        </w:trPr>
        <w:tc>
          <w:tcPr>
            <w:tcW w:w="9435" w:type="dxa"/>
            <w:tcBorders>
              <w:top w:val="nil"/>
              <w:left w:val="nil"/>
              <w:bottom w:val="single" w:color="auto" w:sz="8" w:space="0"/>
              <w:right w:val="nil"/>
            </w:tcBorders>
          </w:tcPr>
          <w:p>
            <w:pPr>
              <w:spacing w:line="380" w:lineRule="exact"/>
              <w:jc w:val="center"/>
              <w:rPr>
                <w:rFonts w:eastAsia="楷体_GB2312"/>
                <w:b/>
                <w:bCs/>
                <w:sz w:val="24"/>
              </w:rPr>
            </w:pPr>
            <w:r>
              <w:rPr>
                <w:rFonts w:eastAsia="楷体_GB2312"/>
                <w:b/>
                <w:bCs/>
                <w:sz w:val="24"/>
              </w:rPr>
              <w:t>龙居2017年第一期个人住房抵押贷款证券化信托贷款服务机构报告</w:t>
            </w:r>
          </w:p>
          <w:p>
            <w:pPr>
              <w:spacing w:line="380" w:lineRule="exact"/>
              <w:jc w:val="center"/>
              <w:rPr>
                <w:rFonts w:eastAsia="楷体_GB2312"/>
                <w:b/>
                <w:bCs/>
                <w:i/>
                <w:color w:val="000000"/>
                <w:kern w:val="0"/>
                <w:sz w:val="24"/>
                <w:szCs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bl>
    <w:p>
      <w:pPr>
        <w:spacing w:line="40" w:lineRule="exact"/>
        <w:rPr>
          <w:rFonts w:eastAsia="楷体_GB2312"/>
          <w:sz w:val="24"/>
        </w:rPr>
      </w:pPr>
    </w:p>
    <w:p>
      <w:pPr>
        <w:spacing w:line="40" w:lineRule="exact"/>
        <w:rPr>
          <w:rFonts w:eastAsia="楷体_GB2312"/>
          <w:sz w:val="24"/>
        </w:rPr>
      </w:pPr>
    </w:p>
    <w:p>
      <w:pPr>
        <w:spacing w:line="40" w:lineRule="exact"/>
        <w:rPr>
          <w:rFonts w:eastAsia="楷体_GB2312"/>
          <w:sz w:val="24"/>
        </w:rPr>
      </w:pPr>
    </w:p>
    <w:p>
      <w:pPr>
        <w:spacing w:line="40" w:lineRule="exact"/>
        <w:rPr>
          <w:rFonts w:eastAsia="楷体_GB2312"/>
          <w:sz w:val="24"/>
        </w:rPr>
      </w:pPr>
    </w:p>
    <w:tbl>
      <w:tblPr>
        <w:tblStyle w:val="17"/>
        <w:tblW w:w="15339"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696"/>
        <w:gridCol w:w="1524"/>
        <w:gridCol w:w="1524"/>
        <w:gridCol w:w="835"/>
        <w:gridCol w:w="834"/>
        <w:gridCol w:w="1525"/>
        <w:gridCol w:w="696"/>
        <w:gridCol w:w="1525"/>
        <w:gridCol w:w="1524"/>
        <w:gridCol w:w="834"/>
        <w:gridCol w:w="835"/>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5339" w:type="dxa"/>
            <w:gridSpan w:val="13"/>
            <w:shd w:val="clear" w:color="000000" w:fill="E5DFEC"/>
            <w:vAlign w:val="center"/>
          </w:tcPr>
          <w:p>
            <w:pPr>
              <w:widowControl/>
              <w:autoSpaceDE/>
              <w:autoSpaceDN/>
              <w:adjustRightInd/>
              <w:rPr>
                <w:b/>
                <w:bCs/>
                <w:color w:val="000000"/>
                <w:kern w:val="0"/>
                <w:sz w:val="24"/>
                <w:szCs w:val="24"/>
              </w:rPr>
            </w:pPr>
            <w:r>
              <w:rPr>
                <w:b/>
                <w:bCs/>
                <w:color w:val="000000"/>
                <w:kern w:val="0"/>
                <w:sz w:val="24"/>
                <w:szCs w:val="24"/>
              </w:rPr>
              <w:t>9-1</w:t>
            </w:r>
            <w:r>
              <w:rPr>
                <w:rFonts w:hint="eastAsia" w:ascii="楷体_GB2312" w:eastAsia="楷体_GB2312"/>
                <w:b/>
                <w:bCs/>
                <w:color w:val="000000"/>
                <w:kern w:val="0"/>
                <w:sz w:val="24"/>
                <w:szCs w:val="24"/>
              </w:rPr>
              <w:t>、收款信息（本表中金额单位为人民币元）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shd w:val="clear" w:color="auto" w:fill="auto"/>
            <w:vAlign w:val="center"/>
          </w:tcPr>
          <w:p>
            <w:pPr>
              <w:widowControl/>
              <w:autoSpaceDE/>
              <w:autoSpaceDN/>
              <w:adjustRightInd/>
              <w:jc w:val="center"/>
              <w:rPr>
                <w:color w:val="000000"/>
                <w:kern w:val="0"/>
              </w:rPr>
            </w:pPr>
          </w:p>
        </w:tc>
        <w:tc>
          <w:tcPr>
            <w:tcW w:w="6938" w:type="dxa"/>
            <w:gridSpan w:val="6"/>
            <w:shd w:val="clear" w:color="000000" w:fill="FFFFFF"/>
            <w:vAlign w:val="center"/>
          </w:tcPr>
          <w:p>
            <w:pPr>
              <w:widowControl/>
              <w:autoSpaceDE/>
              <w:autoSpaceDN/>
              <w:adjustRightInd/>
              <w:jc w:val="center"/>
              <w:rPr>
                <w:color w:val="000000"/>
                <w:kern w:val="0"/>
              </w:rPr>
            </w:pPr>
            <w:r>
              <w:rPr>
                <w:rFonts w:hint="eastAsia" w:ascii="楷体_GB2312" w:hAnsi="宋体" w:eastAsia="楷体_GB2312" w:cs="宋体"/>
                <w:b/>
                <w:bCs/>
                <w:color w:val="000000"/>
                <w:kern w:val="0"/>
              </w:rPr>
              <w:t>本收款期间</w:t>
            </w:r>
          </w:p>
        </w:tc>
        <w:tc>
          <w:tcPr>
            <w:tcW w:w="6877" w:type="dxa"/>
            <w:gridSpan w:val="6"/>
            <w:shd w:val="clear" w:color="000000" w:fill="FFFFFF"/>
            <w:vAlign w:val="center"/>
          </w:tcPr>
          <w:p>
            <w:pPr>
              <w:widowControl/>
              <w:autoSpaceDE/>
              <w:autoSpaceDN/>
              <w:adjustRightInd/>
              <w:jc w:val="center"/>
              <w:rPr>
                <w:rFonts w:ascii="楷体_GB2312" w:hAnsi="宋体" w:eastAsia="楷体_GB2312" w:cs="宋体"/>
                <w:b/>
                <w:bCs/>
                <w:color w:val="000000"/>
                <w:kern w:val="0"/>
              </w:rPr>
            </w:pPr>
            <w:r>
              <w:rPr>
                <w:rFonts w:hint="eastAsia" w:ascii="楷体_GB2312" w:hAnsi="宋体" w:eastAsia="楷体_GB2312" w:cs="宋体"/>
                <w:b/>
                <w:bCs/>
                <w:color w:val="000000"/>
                <w:kern w:val="0"/>
              </w:rPr>
              <w:t>上一收款期间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7" w:hRule="atLeast"/>
        </w:trPr>
        <w:tc>
          <w:tcPr>
            <w:tcW w:w="1524" w:type="dxa"/>
            <w:vAlign w:val="center"/>
          </w:tcPr>
          <w:p>
            <w:pPr>
              <w:widowControl/>
              <w:autoSpaceDE/>
              <w:autoSpaceDN/>
              <w:adjustRightInd/>
              <w:jc w:val="center"/>
              <w:rPr>
                <w:color w:val="000000"/>
                <w:kern w:val="0"/>
              </w:rPr>
            </w:pPr>
          </w:p>
        </w:tc>
        <w:tc>
          <w:tcPr>
            <w:tcW w:w="696"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住房贷款笔数</w:t>
            </w:r>
          </w:p>
        </w:tc>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本金</w:t>
            </w:r>
          </w:p>
        </w:tc>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利息</w:t>
            </w:r>
          </w:p>
        </w:tc>
        <w:tc>
          <w:tcPr>
            <w:tcW w:w="835"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违约金</w:t>
            </w:r>
          </w:p>
        </w:tc>
        <w:tc>
          <w:tcPr>
            <w:tcW w:w="83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其他</w:t>
            </w:r>
          </w:p>
        </w:tc>
        <w:tc>
          <w:tcPr>
            <w:tcW w:w="1525"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收入小计</w:t>
            </w:r>
          </w:p>
        </w:tc>
        <w:tc>
          <w:tcPr>
            <w:tcW w:w="696"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住房贷款笔数</w:t>
            </w:r>
          </w:p>
        </w:tc>
        <w:tc>
          <w:tcPr>
            <w:tcW w:w="1525"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本金</w:t>
            </w:r>
          </w:p>
        </w:tc>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利息</w:t>
            </w:r>
          </w:p>
        </w:tc>
        <w:tc>
          <w:tcPr>
            <w:tcW w:w="83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违约金</w:t>
            </w:r>
          </w:p>
        </w:tc>
        <w:tc>
          <w:tcPr>
            <w:tcW w:w="835"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其他</w:t>
            </w:r>
          </w:p>
        </w:tc>
        <w:tc>
          <w:tcPr>
            <w:tcW w:w="1463"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收入小计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339" w:type="dxa"/>
            <w:gridSpan w:val="13"/>
            <w:vAlign w:val="center"/>
          </w:tcPr>
          <w:p>
            <w:pPr>
              <w:widowControl/>
              <w:autoSpaceDE/>
              <w:autoSpaceDN/>
              <w:adjustRightInd/>
              <w:rPr>
                <w:color w:val="000000"/>
                <w:kern w:val="0"/>
              </w:rPr>
            </w:pPr>
            <w:r>
              <w:rPr>
                <w:rFonts w:hint="eastAsia" w:ascii="楷体_GB2312" w:hAnsi="宋体" w:eastAsia="楷体_GB2312" w:cs="宋体"/>
                <w:b/>
                <w:bCs/>
                <w:color w:val="000000"/>
                <w:kern w:val="0"/>
              </w:rPr>
              <w:t>贷款服务机构回收款项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计划内还款</w:t>
            </w:r>
          </w:p>
        </w:tc>
        <w:tc>
          <w:tcPr>
            <w:tcW w:w="696" w:type="dxa"/>
            <w:vAlign w:val="center"/>
          </w:tcPr>
          <w:p>
            <w:pPr>
              <w:jc w:val="center"/>
              <w:rPr>
                <w:color w:val="000000"/>
                <w:kern w:val="0"/>
                <w:sz w:val="18"/>
                <w:szCs w:val="18"/>
              </w:rPr>
            </w:pPr>
            <w:r>
              <w:rPr>
                <w:color w:val="000000"/>
                <w:kern w:val="0"/>
                <w:sz w:val="18"/>
                <w:szCs w:val="18"/>
              </w:rPr>
              <w:t>3,890</w:t>
            </w:r>
          </w:p>
        </w:tc>
        <w:tc>
          <w:tcPr>
            <w:tcW w:w="1524" w:type="dxa"/>
            <w:vAlign w:val="center"/>
          </w:tcPr>
          <w:p>
            <w:pPr>
              <w:jc w:val="center"/>
              <w:rPr>
                <w:color w:val="000000"/>
                <w:kern w:val="0"/>
                <w:sz w:val="18"/>
                <w:szCs w:val="18"/>
              </w:rPr>
            </w:pPr>
            <w:r>
              <w:rPr>
                <w:color w:val="000000"/>
                <w:kern w:val="0"/>
                <w:sz w:val="18"/>
                <w:szCs w:val="18"/>
              </w:rPr>
              <w:t>13,632,402.98</w:t>
            </w:r>
          </w:p>
        </w:tc>
        <w:tc>
          <w:tcPr>
            <w:tcW w:w="1524" w:type="dxa"/>
            <w:vAlign w:val="center"/>
          </w:tcPr>
          <w:p>
            <w:pPr>
              <w:jc w:val="center"/>
              <w:rPr>
                <w:color w:val="000000"/>
                <w:kern w:val="0"/>
                <w:sz w:val="18"/>
                <w:szCs w:val="18"/>
              </w:rPr>
            </w:pPr>
            <w:r>
              <w:rPr>
                <w:color w:val="000000"/>
                <w:kern w:val="0"/>
                <w:sz w:val="18"/>
                <w:szCs w:val="18"/>
              </w:rPr>
              <w:t>5,325,604.01</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18,958,006.99</w:t>
            </w:r>
          </w:p>
        </w:tc>
        <w:tc>
          <w:tcPr>
            <w:tcW w:w="696" w:type="dxa"/>
            <w:vAlign w:val="center"/>
          </w:tcPr>
          <w:p>
            <w:pPr>
              <w:jc w:val="center"/>
              <w:rPr>
                <w:color w:val="000000"/>
                <w:kern w:val="0"/>
                <w:sz w:val="18"/>
                <w:szCs w:val="18"/>
              </w:rPr>
            </w:pPr>
            <w:r>
              <w:rPr>
                <w:color w:val="000000"/>
                <w:kern w:val="0"/>
                <w:sz w:val="18"/>
                <w:szCs w:val="18"/>
              </w:rPr>
              <w:t>3,909</w:t>
            </w:r>
          </w:p>
        </w:tc>
        <w:tc>
          <w:tcPr>
            <w:tcW w:w="1525" w:type="dxa"/>
            <w:vAlign w:val="center"/>
          </w:tcPr>
          <w:p>
            <w:pPr>
              <w:jc w:val="center"/>
              <w:rPr>
                <w:color w:val="000000"/>
                <w:kern w:val="0"/>
                <w:sz w:val="18"/>
                <w:szCs w:val="18"/>
              </w:rPr>
            </w:pPr>
            <w:r>
              <w:rPr>
                <w:color w:val="000000"/>
                <w:kern w:val="0"/>
                <w:sz w:val="18"/>
                <w:szCs w:val="18"/>
              </w:rPr>
              <w:t>13,751,218.62</w:t>
            </w:r>
          </w:p>
        </w:tc>
        <w:tc>
          <w:tcPr>
            <w:tcW w:w="1524" w:type="dxa"/>
            <w:vAlign w:val="center"/>
          </w:tcPr>
          <w:p>
            <w:pPr>
              <w:jc w:val="center"/>
              <w:rPr>
                <w:color w:val="000000"/>
                <w:kern w:val="0"/>
                <w:sz w:val="18"/>
                <w:szCs w:val="18"/>
              </w:rPr>
            </w:pPr>
            <w:r>
              <w:rPr>
                <w:color w:val="000000"/>
                <w:kern w:val="0"/>
                <w:sz w:val="18"/>
                <w:szCs w:val="18"/>
              </w:rPr>
              <w:t>5,408,494.69</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1463" w:type="dxa"/>
            <w:vAlign w:val="center"/>
          </w:tcPr>
          <w:p>
            <w:pPr>
              <w:jc w:val="center"/>
              <w:rPr>
                <w:color w:val="000000"/>
                <w:kern w:val="0"/>
                <w:sz w:val="18"/>
                <w:szCs w:val="18"/>
              </w:rPr>
            </w:pPr>
            <w:r>
              <w:rPr>
                <w:color w:val="000000"/>
                <w:kern w:val="0"/>
                <w:sz w:val="18"/>
                <w:szCs w:val="18"/>
              </w:rPr>
              <w:t>19,159,713.31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提前还款</w:t>
            </w:r>
          </w:p>
        </w:tc>
        <w:tc>
          <w:tcPr>
            <w:tcW w:w="696"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0</w:t>
            </w:r>
          </w:p>
        </w:tc>
        <w:tc>
          <w:tcPr>
            <w:tcW w:w="696"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1463" w:type="dxa"/>
            <w:vAlign w:val="center"/>
          </w:tcPr>
          <w:p>
            <w:pPr>
              <w:jc w:val="center"/>
              <w:rPr>
                <w:color w:val="000000"/>
                <w:kern w:val="0"/>
                <w:sz w:val="18"/>
                <w:szCs w:val="18"/>
              </w:rPr>
            </w:pPr>
            <w:r>
              <w:rPr>
                <w:color w:val="000000"/>
                <w:kern w:val="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部分提前还款</w:t>
            </w:r>
          </w:p>
        </w:tc>
        <w:tc>
          <w:tcPr>
            <w:tcW w:w="696" w:type="dxa"/>
            <w:vAlign w:val="center"/>
          </w:tcPr>
          <w:p>
            <w:pPr>
              <w:jc w:val="center"/>
              <w:rPr>
                <w:color w:val="000000"/>
                <w:kern w:val="0"/>
                <w:sz w:val="18"/>
                <w:szCs w:val="18"/>
              </w:rPr>
            </w:pPr>
            <w:r>
              <w:rPr>
                <w:color w:val="000000"/>
                <w:kern w:val="0"/>
                <w:sz w:val="18"/>
                <w:szCs w:val="18"/>
              </w:rPr>
              <w:t>4</w:t>
            </w:r>
          </w:p>
        </w:tc>
        <w:tc>
          <w:tcPr>
            <w:tcW w:w="1524" w:type="dxa"/>
            <w:vAlign w:val="center"/>
          </w:tcPr>
          <w:p>
            <w:pPr>
              <w:jc w:val="center"/>
              <w:rPr>
                <w:color w:val="000000"/>
                <w:kern w:val="0"/>
                <w:sz w:val="18"/>
                <w:szCs w:val="18"/>
              </w:rPr>
            </w:pPr>
            <w:r>
              <w:rPr>
                <w:color w:val="000000"/>
                <w:kern w:val="0"/>
                <w:sz w:val="18"/>
                <w:szCs w:val="18"/>
              </w:rPr>
              <w:t>500,000.00</w:t>
            </w:r>
          </w:p>
        </w:tc>
        <w:tc>
          <w:tcPr>
            <w:tcW w:w="1524" w:type="dxa"/>
            <w:vAlign w:val="center"/>
          </w:tcPr>
          <w:p>
            <w:pPr>
              <w:jc w:val="center"/>
              <w:rPr>
                <w:color w:val="000000"/>
                <w:kern w:val="0"/>
                <w:sz w:val="18"/>
                <w:szCs w:val="18"/>
              </w:rPr>
            </w:pPr>
            <w:r>
              <w:rPr>
                <w:color w:val="000000"/>
                <w:kern w:val="0"/>
                <w:sz w:val="18"/>
                <w:szCs w:val="18"/>
              </w:rPr>
              <w:t>890.17</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500,890.17</w:t>
            </w:r>
          </w:p>
        </w:tc>
        <w:tc>
          <w:tcPr>
            <w:tcW w:w="696" w:type="dxa"/>
            <w:vAlign w:val="center"/>
          </w:tcPr>
          <w:p>
            <w:pPr>
              <w:jc w:val="center"/>
              <w:rPr>
                <w:color w:val="000000"/>
                <w:kern w:val="0"/>
                <w:sz w:val="18"/>
                <w:szCs w:val="18"/>
              </w:rPr>
            </w:pPr>
            <w:r>
              <w:rPr>
                <w:color w:val="000000"/>
                <w:kern w:val="0"/>
                <w:sz w:val="18"/>
                <w:szCs w:val="18"/>
              </w:rPr>
              <w:t>4</w:t>
            </w:r>
          </w:p>
        </w:tc>
        <w:tc>
          <w:tcPr>
            <w:tcW w:w="1525" w:type="dxa"/>
            <w:vAlign w:val="center"/>
          </w:tcPr>
          <w:p>
            <w:pPr>
              <w:jc w:val="center"/>
              <w:rPr>
                <w:color w:val="000000"/>
                <w:kern w:val="0"/>
                <w:sz w:val="18"/>
                <w:szCs w:val="18"/>
              </w:rPr>
            </w:pPr>
            <w:r>
              <w:rPr>
                <w:color w:val="000000"/>
                <w:kern w:val="0"/>
                <w:sz w:val="18"/>
                <w:szCs w:val="18"/>
              </w:rPr>
              <w:t>350,000.00</w:t>
            </w:r>
          </w:p>
        </w:tc>
        <w:tc>
          <w:tcPr>
            <w:tcW w:w="1524" w:type="dxa"/>
            <w:vAlign w:val="center"/>
          </w:tcPr>
          <w:p>
            <w:pPr>
              <w:jc w:val="center"/>
              <w:rPr>
                <w:color w:val="000000"/>
                <w:kern w:val="0"/>
                <w:sz w:val="18"/>
                <w:szCs w:val="18"/>
              </w:rPr>
            </w:pPr>
            <w:r>
              <w:rPr>
                <w:color w:val="000000"/>
                <w:kern w:val="0"/>
                <w:sz w:val="18"/>
                <w:szCs w:val="18"/>
              </w:rPr>
              <w:t>1,012.46</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1463" w:type="dxa"/>
            <w:vAlign w:val="center"/>
          </w:tcPr>
          <w:p>
            <w:pPr>
              <w:jc w:val="center"/>
              <w:rPr>
                <w:color w:val="000000"/>
                <w:kern w:val="0"/>
                <w:sz w:val="18"/>
                <w:szCs w:val="18"/>
              </w:rPr>
            </w:pPr>
            <w:r>
              <w:rPr>
                <w:color w:val="000000"/>
                <w:kern w:val="0"/>
                <w:sz w:val="18"/>
                <w:szCs w:val="18"/>
              </w:rPr>
              <w:t>351,012.46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提前结清</w:t>
            </w:r>
          </w:p>
        </w:tc>
        <w:tc>
          <w:tcPr>
            <w:tcW w:w="696" w:type="dxa"/>
            <w:vAlign w:val="center"/>
          </w:tcPr>
          <w:p>
            <w:pPr>
              <w:jc w:val="center"/>
              <w:rPr>
                <w:color w:val="000000"/>
                <w:kern w:val="0"/>
                <w:sz w:val="18"/>
                <w:szCs w:val="18"/>
              </w:rPr>
            </w:pPr>
            <w:r>
              <w:rPr>
                <w:color w:val="000000"/>
                <w:kern w:val="0"/>
                <w:sz w:val="18"/>
                <w:szCs w:val="18"/>
              </w:rPr>
              <w:t>25</w:t>
            </w:r>
          </w:p>
        </w:tc>
        <w:tc>
          <w:tcPr>
            <w:tcW w:w="1524" w:type="dxa"/>
            <w:vAlign w:val="center"/>
          </w:tcPr>
          <w:p>
            <w:pPr>
              <w:jc w:val="center"/>
              <w:rPr>
                <w:color w:val="000000"/>
                <w:kern w:val="0"/>
                <w:sz w:val="18"/>
                <w:szCs w:val="18"/>
              </w:rPr>
            </w:pPr>
            <w:r>
              <w:rPr>
                <w:color w:val="000000"/>
                <w:kern w:val="0"/>
                <w:sz w:val="18"/>
                <w:szCs w:val="18"/>
              </w:rPr>
              <w:t>8,251,203.26</w:t>
            </w:r>
          </w:p>
        </w:tc>
        <w:tc>
          <w:tcPr>
            <w:tcW w:w="1524" w:type="dxa"/>
            <w:vAlign w:val="center"/>
          </w:tcPr>
          <w:p>
            <w:pPr>
              <w:jc w:val="center"/>
              <w:rPr>
                <w:color w:val="000000"/>
                <w:kern w:val="0"/>
                <w:sz w:val="18"/>
                <w:szCs w:val="18"/>
              </w:rPr>
            </w:pPr>
            <w:r>
              <w:rPr>
                <w:color w:val="000000"/>
                <w:kern w:val="0"/>
                <w:sz w:val="18"/>
                <w:szCs w:val="18"/>
              </w:rPr>
              <w:t>11,372.18</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8,262,575.44</w:t>
            </w:r>
          </w:p>
        </w:tc>
        <w:tc>
          <w:tcPr>
            <w:tcW w:w="696" w:type="dxa"/>
            <w:vAlign w:val="center"/>
          </w:tcPr>
          <w:p>
            <w:pPr>
              <w:jc w:val="center"/>
              <w:rPr>
                <w:color w:val="000000"/>
                <w:kern w:val="0"/>
                <w:sz w:val="18"/>
                <w:szCs w:val="18"/>
              </w:rPr>
            </w:pPr>
            <w:r>
              <w:rPr>
                <w:color w:val="000000"/>
                <w:kern w:val="0"/>
                <w:sz w:val="18"/>
                <w:szCs w:val="18"/>
              </w:rPr>
              <w:t>29</w:t>
            </w:r>
          </w:p>
        </w:tc>
        <w:tc>
          <w:tcPr>
            <w:tcW w:w="1525" w:type="dxa"/>
            <w:vAlign w:val="center"/>
          </w:tcPr>
          <w:p>
            <w:pPr>
              <w:jc w:val="center"/>
              <w:rPr>
                <w:color w:val="000000"/>
                <w:kern w:val="0"/>
                <w:sz w:val="18"/>
                <w:szCs w:val="18"/>
              </w:rPr>
            </w:pPr>
            <w:r>
              <w:rPr>
                <w:color w:val="000000"/>
                <w:kern w:val="0"/>
                <w:sz w:val="18"/>
                <w:szCs w:val="18"/>
              </w:rPr>
              <w:t>13,908,121.86</w:t>
            </w:r>
          </w:p>
        </w:tc>
        <w:tc>
          <w:tcPr>
            <w:tcW w:w="1524" w:type="dxa"/>
            <w:vAlign w:val="center"/>
          </w:tcPr>
          <w:p>
            <w:pPr>
              <w:jc w:val="center"/>
              <w:rPr>
                <w:color w:val="000000"/>
                <w:kern w:val="0"/>
                <w:sz w:val="18"/>
                <w:szCs w:val="18"/>
              </w:rPr>
            </w:pPr>
            <w:r>
              <w:rPr>
                <w:color w:val="000000"/>
                <w:kern w:val="0"/>
                <w:sz w:val="18"/>
                <w:szCs w:val="18"/>
              </w:rPr>
              <w:t>28,634.34</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1463" w:type="dxa"/>
            <w:vAlign w:val="center"/>
          </w:tcPr>
          <w:p>
            <w:pPr>
              <w:jc w:val="center"/>
              <w:rPr>
                <w:color w:val="000000"/>
                <w:kern w:val="0"/>
                <w:sz w:val="18"/>
                <w:szCs w:val="18"/>
              </w:rPr>
            </w:pPr>
            <w:r>
              <w:rPr>
                <w:color w:val="000000"/>
                <w:kern w:val="0"/>
                <w:sz w:val="18"/>
                <w:szCs w:val="18"/>
              </w:rPr>
              <w:t>13,936,756.20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拖欠回收</w:t>
            </w:r>
          </w:p>
        </w:tc>
        <w:tc>
          <w:tcPr>
            <w:tcW w:w="696" w:type="dxa"/>
            <w:vAlign w:val="center"/>
          </w:tcPr>
          <w:p>
            <w:pPr>
              <w:jc w:val="center"/>
              <w:rPr>
                <w:color w:val="000000"/>
                <w:kern w:val="0"/>
                <w:sz w:val="18"/>
                <w:szCs w:val="18"/>
              </w:rPr>
            </w:pPr>
            <w:r>
              <w:rPr>
                <w:color w:val="000000"/>
                <w:kern w:val="0"/>
                <w:sz w:val="18"/>
                <w:szCs w:val="18"/>
              </w:rPr>
              <w:t>9</w:t>
            </w:r>
          </w:p>
        </w:tc>
        <w:tc>
          <w:tcPr>
            <w:tcW w:w="1524" w:type="dxa"/>
            <w:vAlign w:val="center"/>
          </w:tcPr>
          <w:p>
            <w:pPr>
              <w:jc w:val="center"/>
              <w:rPr>
                <w:color w:val="000000"/>
                <w:kern w:val="0"/>
                <w:sz w:val="18"/>
                <w:szCs w:val="18"/>
              </w:rPr>
            </w:pPr>
            <w:r>
              <w:rPr>
                <w:color w:val="000000"/>
                <w:kern w:val="0"/>
                <w:sz w:val="18"/>
                <w:szCs w:val="18"/>
              </w:rPr>
              <w:t>41,156.62</w:t>
            </w:r>
          </w:p>
        </w:tc>
        <w:tc>
          <w:tcPr>
            <w:tcW w:w="1524" w:type="dxa"/>
            <w:vAlign w:val="center"/>
          </w:tcPr>
          <w:p>
            <w:pPr>
              <w:jc w:val="center"/>
              <w:rPr>
                <w:color w:val="000000"/>
                <w:kern w:val="0"/>
                <w:sz w:val="18"/>
                <w:szCs w:val="18"/>
              </w:rPr>
            </w:pPr>
            <w:r>
              <w:rPr>
                <w:color w:val="000000"/>
                <w:kern w:val="0"/>
                <w:sz w:val="18"/>
                <w:szCs w:val="18"/>
              </w:rPr>
              <w:t>8,402.13</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173.47</w:t>
            </w:r>
          </w:p>
        </w:tc>
        <w:tc>
          <w:tcPr>
            <w:tcW w:w="1525" w:type="dxa"/>
            <w:vAlign w:val="center"/>
          </w:tcPr>
          <w:p>
            <w:pPr>
              <w:jc w:val="center"/>
              <w:rPr>
                <w:color w:val="000000"/>
                <w:kern w:val="0"/>
                <w:sz w:val="18"/>
                <w:szCs w:val="18"/>
              </w:rPr>
            </w:pPr>
            <w:r>
              <w:rPr>
                <w:color w:val="000000"/>
                <w:kern w:val="0"/>
                <w:sz w:val="18"/>
                <w:szCs w:val="18"/>
              </w:rPr>
              <w:t>49,732.22</w:t>
            </w:r>
          </w:p>
        </w:tc>
        <w:tc>
          <w:tcPr>
            <w:tcW w:w="696" w:type="dxa"/>
            <w:vAlign w:val="center"/>
          </w:tcPr>
          <w:p>
            <w:pPr>
              <w:jc w:val="center"/>
              <w:rPr>
                <w:color w:val="000000"/>
                <w:kern w:val="0"/>
                <w:sz w:val="18"/>
                <w:szCs w:val="18"/>
              </w:rPr>
            </w:pPr>
            <w:r>
              <w:rPr>
                <w:color w:val="000000"/>
                <w:kern w:val="0"/>
                <w:sz w:val="18"/>
                <w:szCs w:val="18"/>
              </w:rPr>
              <w:t>16</w:t>
            </w:r>
          </w:p>
        </w:tc>
        <w:tc>
          <w:tcPr>
            <w:tcW w:w="1525" w:type="dxa"/>
            <w:vAlign w:val="center"/>
          </w:tcPr>
          <w:p>
            <w:pPr>
              <w:jc w:val="center"/>
              <w:rPr>
                <w:color w:val="000000"/>
                <w:kern w:val="0"/>
                <w:sz w:val="18"/>
                <w:szCs w:val="18"/>
              </w:rPr>
            </w:pPr>
            <w:r>
              <w:rPr>
                <w:color w:val="000000"/>
                <w:kern w:val="0"/>
                <w:sz w:val="18"/>
                <w:szCs w:val="18"/>
              </w:rPr>
              <w:t>70,083.44</w:t>
            </w:r>
          </w:p>
        </w:tc>
        <w:tc>
          <w:tcPr>
            <w:tcW w:w="1524" w:type="dxa"/>
            <w:vAlign w:val="center"/>
          </w:tcPr>
          <w:p>
            <w:pPr>
              <w:jc w:val="center"/>
              <w:rPr>
                <w:color w:val="000000"/>
                <w:kern w:val="0"/>
                <w:sz w:val="18"/>
                <w:szCs w:val="18"/>
              </w:rPr>
            </w:pPr>
            <w:r>
              <w:rPr>
                <w:color w:val="000000"/>
                <w:kern w:val="0"/>
                <w:sz w:val="18"/>
                <w:szCs w:val="18"/>
              </w:rPr>
              <w:t>17,416.18</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170.80</w:t>
            </w:r>
          </w:p>
        </w:tc>
        <w:tc>
          <w:tcPr>
            <w:tcW w:w="1463" w:type="dxa"/>
            <w:vAlign w:val="center"/>
          </w:tcPr>
          <w:p>
            <w:pPr>
              <w:jc w:val="center"/>
              <w:rPr>
                <w:color w:val="000000"/>
                <w:kern w:val="0"/>
                <w:sz w:val="18"/>
                <w:szCs w:val="18"/>
              </w:rPr>
            </w:pPr>
            <w:r>
              <w:rPr>
                <w:color w:val="000000"/>
                <w:kern w:val="0"/>
                <w:sz w:val="18"/>
                <w:szCs w:val="18"/>
              </w:rPr>
              <w:t>87,670.42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违约回收</w:t>
            </w:r>
          </w:p>
        </w:tc>
        <w:tc>
          <w:tcPr>
            <w:tcW w:w="696" w:type="dxa"/>
            <w:vAlign w:val="center"/>
          </w:tcPr>
          <w:p>
            <w:pPr>
              <w:jc w:val="center"/>
              <w:rPr>
                <w:color w:val="000000"/>
                <w:kern w:val="0"/>
                <w:sz w:val="18"/>
                <w:szCs w:val="18"/>
              </w:rPr>
            </w:pPr>
            <w:r>
              <w:rPr>
                <w:color w:val="000000"/>
                <w:kern w:val="0"/>
                <w:sz w:val="18"/>
                <w:szCs w:val="18"/>
              </w:rPr>
              <w:t>1</w:t>
            </w:r>
          </w:p>
        </w:tc>
        <w:tc>
          <w:tcPr>
            <w:tcW w:w="1524" w:type="dxa"/>
            <w:vAlign w:val="center"/>
          </w:tcPr>
          <w:p>
            <w:pPr>
              <w:jc w:val="center"/>
              <w:rPr>
                <w:color w:val="000000"/>
                <w:kern w:val="0"/>
                <w:sz w:val="18"/>
                <w:szCs w:val="18"/>
              </w:rPr>
            </w:pPr>
            <w:r>
              <w:rPr>
                <w:color w:val="000000"/>
                <w:kern w:val="0"/>
                <w:sz w:val="18"/>
                <w:szCs w:val="18"/>
              </w:rPr>
              <w:t>266,000.00</w:t>
            </w:r>
          </w:p>
        </w:tc>
        <w:tc>
          <w:tcPr>
            <w:tcW w:w="1524" w:type="dxa"/>
            <w:vAlign w:val="center"/>
          </w:tcPr>
          <w:p>
            <w:pPr>
              <w:jc w:val="center"/>
              <w:rPr>
                <w:color w:val="000000"/>
                <w:kern w:val="0"/>
                <w:sz w:val="18"/>
                <w:szCs w:val="18"/>
              </w:rPr>
            </w:pPr>
            <w:r>
              <w:rPr>
                <w:color w:val="000000"/>
                <w:kern w:val="0"/>
                <w:sz w:val="18"/>
                <w:szCs w:val="18"/>
              </w:rPr>
              <w:t>4,944.92</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245.56</w:t>
            </w:r>
          </w:p>
        </w:tc>
        <w:tc>
          <w:tcPr>
            <w:tcW w:w="1525" w:type="dxa"/>
            <w:vAlign w:val="center"/>
          </w:tcPr>
          <w:p>
            <w:pPr>
              <w:jc w:val="center"/>
              <w:rPr>
                <w:color w:val="000000"/>
                <w:kern w:val="0"/>
                <w:sz w:val="18"/>
                <w:szCs w:val="18"/>
              </w:rPr>
            </w:pPr>
            <w:r>
              <w:rPr>
                <w:color w:val="000000"/>
                <w:kern w:val="0"/>
                <w:sz w:val="18"/>
                <w:szCs w:val="18"/>
              </w:rPr>
              <w:t>271,190.48</w:t>
            </w:r>
          </w:p>
        </w:tc>
        <w:tc>
          <w:tcPr>
            <w:tcW w:w="696"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0.00</w:t>
            </w:r>
          </w:p>
        </w:tc>
        <w:tc>
          <w:tcPr>
            <w:tcW w:w="1524" w:type="dxa"/>
            <w:vAlign w:val="center"/>
          </w:tcPr>
          <w:p>
            <w:pPr>
              <w:jc w:val="center"/>
              <w:rPr>
                <w:color w:val="000000"/>
                <w:kern w:val="0"/>
                <w:sz w:val="18"/>
                <w:szCs w:val="18"/>
              </w:rPr>
            </w:pPr>
            <w:r>
              <w:rPr>
                <w:color w:val="000000"/>
                <w:kern w:val="0"/>
                <w:sz w:val="18"/>
                <w:szCs w:val="18"/>
              </w:rPr>
              <w:t>0.00</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0.00</w:t>
            </w:r>
          </w:p>
        </w:tc>
        <w:tc>
          <w:tcPr>
            <w:tcW w:w="1463" w:type="dxa"/>
            <w:vAlign w:val="center"/>
          </w:tcPr>
          <w:p>
            <w:pPr>
              <w:jc w:val="center"/>
              <w:rPr>
                <w:color w:val="000000"/>
                <w:kern w:val="0"/>
                <w:sz w:val="18"/>
                <w:szCs w:val="18"/>
              </w:rPr>
            </w:pPr>
            <w:r>
              <w:rPr>
                <w:color w:val="000000"/>
                <w:kern w:val="0"/>
                <w:sz w:val="18"/>
                <w:szCs w:val="18"/>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住房贷款赎回</w:t>
            </w:r>
          </w:p>
        </w:tc>
        <w:tc>
          <w:tcPr>
            <w:tcW w:w="696"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0</w:t>
            </w:r>
          </w:p>
        </w:tc>
        <w:tc>
          <w:tcPr>
            <w:tcW w:w="696"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1463" w:type="dxa"/>
            <w:vAlign w:val="center"/>
          </w:tcPr>
          <w:p>
            <w:pPr>
              <w:jc w:val="center"/>
              <w:rPr>
                <w:color w:val="000000"/>
                <w:kern w:val="0"/>
                <w:sz w:val="18"/>
                <w:szCs w:val="18"/>
              </w:rPr>
            </w:pPr>
            <w:r>
              <w:rPr>
                <w:color w:val="000000"/>
                <w:kern w:val="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清仓回购</w:t>
            </w:r>
          </w:p>
        </w:tc>
        <w:tc>
          <w:tcPr>
            <w:tcW w:w="696"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0</w:t>
            </w:r>
          </w:p>
        </w:tc>
        <w:tc>
          <w:tcPr>
            <w:tcW w:w="696"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1463" w:type="dxa"/>
            <w:vAlign w:val="center"/>
          </w:tcPr>
          <w:p>
            <w:pPr>
              <w:jc w:val="center"/>
              <w:rPr>
                <w:color w:val="000000"/>
                <w:kern w:val="0"/>
                <w:sz w:val="18"/>
                <w:szCs w:val="18"/>
              </w:rPr>
            </w:pPr>
            <w:r>
              <w:rPr>
                <w:color w:val="000000"/>
                <w:kern w:val="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违约贷款出售</w:t>
            </w:r>
          </w:p>
        </w:tc>
        <w:tc>
          <w:tcPr>
            <w:tcW w:w="696"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0</w:t>
            </w:r>
          </w:p>
        </w:tc>
        <w:tc>
          <w:tcPr>
            <w:tcW w:w="696" w:type="dxa"/>
            <w:vAlign w:val="center"/>
          </w:tcPr>
          <w:p>
            <w:pPr>
              <w:jc w:val="center"/>
              <w:rPr>
                <w:color w:val="000000"/>
                <w:kern w:val="0"/>
                <w:sz w:val="18"/>
                <w:szCs w:val="18"/>
              </w:rPr>
            </w:pPr>
            <w:r>
              <w:rPr>
                <w:color w:val="000000"/>
                <w:kern w:val="0"/>
                <w:sz w:val="18"/>
                <w:szCs w:val="18"/>
              </w:rPr>
              <w:t>0</w:t>
            </w:r>
          </w:p>
        </w:tc>
        <w:tc>
          <w:tcPr>
            <w:tcW w:w="1525" w:type="dxa"/>
            <w:vAlign w:val="center"/>
          </w:tcPr>
          <w:p>
            <w:pPr>
              <w:jc w:val="center"/>
              <w:rPr>
                <w:color w:val="000000"/>
                <w:kern w:val="0"/>
                <w:sz w:val="18"/>
                <w:szCs w:val="18"/>
              </w:rPr>
            </w:pPr>
            <w:r>
              <w:rPr>
                <w:color w:val="000000"/>
                <w:kern w:val="0"/>
                <w:sz w:val="18"/>
                <w:szCs w:val="18"/>
              </w:rPr>
              <w:t>0</w:t>
            </w:r>
          </w:p>
        </w:tc>
        <w:tc>
          <w:tcPr>
            <w:tcW w:w="1524"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0</w:t>
            </w:r>
          </w:p>
        </w:tc>
        <w:tc>
          <w:tcPr>
            <w:tcW w:w="1463" w:type="dxa"/>
            <w:vAlign w:val="center"/>
          </w:tcPr>
          <w:p>
            <w:pPr>
              <w:jc w:val="center"/>
              <w:rPr>
                <w:color w:val="000000"/>
                <w:kern w:val="0"/>
                <w:sz w:val="18"/>
                <w:szCs w:val="18"/>
              </w:rPr>
            </w:pPr>
            <w:r>
              <w:rPr>
                <w:color w:val="000000"/>
                <w:kern w:val="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合计</w:t>
            </w:r>
          </w:p>
        </w:tc>
        <w:tc>
          <w:tcPr>
            <w:tcW w:w="696" w:type="dxa"/>
            <w:vAlign w:val="center"/>
          </w:tcPr>
          <w:p>
            <w:pPr>
              <w:jc w:val="center"/>
              <w:rPr>
                <w:color w:val="000000"/>
                <w:kern w:val="0"/>
                <w:sz w:val="18"/>
                <w:szCs w:val="18"/>
              </w:rPr>
            </w:pPr>
            <w:r>
              <w:rPr>
                <w:color w:val="000000"/>
                <w:kern w:val="0"/>
                <w:sz w:val="18"/>
                <w:szCs w:val="18"/>
              </w:rPr>
              <w:t>3,910</w:t>
            </w:r>
          </w:p>
        </w:tc>
        <w:tc>
          <w:tcPr>
            <w:tcW w:w="1524" w:type="dxa"/>
            <w:vAlign w:val="center"/>
          </w:tcPr>
          <w:p>
            <w:pPr>
              <w:jc w:val="center"/>
              <w:rPr>
                <w:color w:val="000000"/>
                <w:kern w:val="0"/>
                <w:sz w:val="18"/>
                <w:szCs w:val="18"/>
              </w:rPr>
            </w:pPr>
            <w:r>
              <w:rPr>
                <w:color w:val="000000"/>
                <w:kern w:val="0"/>
                <w:sz w:val="18"/>
                <w:szCs w:val="18"/>
              </w:rPr>
              <w:t>22,690,762.86</w:t>
            </w:r>
          </w:p>
        </w:tc>
        <w:tc>
          <w:tcPr>
            <w:tcW w:w="1524" w:type="dxa"/>
            <w:vAlign w:val="center"/>
          </w:tcPr>
          <w:p>
            <w:pPr>
              <w:jc w:val="center"/>
              <w:rPr>
                <w:color w:val="000000"/>
                <w:kern w:val="0"/>
                <w:sz w:val="18"/>
                <w:szCs w:val="18"/>
              </w:rPr>
            </w:pPr>
            <w:r>
              <w:rPr>
                <w:color w:val="000000"/>
                <w:kern w:val="0"/>
                <w:sz w:val="18"/>
                <w:szCs w:val="18"/>
              </w:rPr>
              <w:t>5,351,213.41</w:t>
            </w:r>
          </w:p>
        </w:tc>
        <w:tc>
          <w:tcPr>
            <w:tcW w:w="835" w:type="dxa"/>
            <w:vAlign w:val="center"/>
          </w:tcPr>
          <w:p>
            <w:pPr>
              <w:jc w:val="center"/>
              <w:rPr>
                <w:color w:val="000000"/>
                <w:kern w:val="0"/>
                <w:sz w:val="18"/>
                <w:szCs w:val="18"/>
              </w:rPr>
            </w:pPr>
            <w:r>
              <w:rPr>
                <w:color w:val="000000"/>
                <w:kern w:val="0"/>
                <w:sz w:val="18"/>
                <w:szCs w:val="18"/>
              </w:rPr>
              <w:t>0</w:t>
            </w:r>
          </w:p>
        </w:tc>
        <w:tc>
          <w:tcPr>
            <w:tcW w:w="834" w:type="dxa"/>
            <w:vAlign w:val="center"/>
          </w:tcPr>
          <w:p>
            <w:pPr>
              <w:jc w:val="center"/>
              <w:rPr>
                <w:color w:val="000000"/>
                <w:kern w:val="0"/>
                <w:sz w:val="18"/>
                <w:szCs w:val="18"/>
              </w:rPr>
            </w:pPr>
            <w:r>
              <w:rPr>
                <w:color w:val="000000"/>
                <w:kern w:val="0"/>
                <w:sz w:val="18"/>
                <w:szCs w:val="18"/>
              </w:rPr>
              <w:t>419.03</w:t>
            </w:r>
          </w:p>
        </w:tc>
        <w:tc>
          <w:tcPr>
            <w:tcW w:w="1525" w:type="dxa"/>
            <w:vAlign w:val="center"/>
          </w:tcPr>
          <w:p>
            <w:pPr>
              <w:jc w:val="center"/>
              <w:rPr>
                <w:color w:val="000000"/>
                <w:kern w:val="0"/>
                <w:sz w:val="18"/>
                <w:szCs w:val="18"/>
              </w:rPr>
            </w:pPr>
            <w:r>
              <w:rPr>
                <w:color w:val="000000"/>
                <w:kern w:val="0"/>
                <w:sz w:val="18"/>
                <w:szCs w:val="18"/>
              </w:rPr>
              <w:t>28,042,395.30</w:t>
            </w:r>
          </w:p>
        </w:tc>
        <w:tc>
          <w:tcPr>
            <w:tcW w:w="696" w:type="dxa"/>
            <w:vAlign w:val="center"/>
          </w:tcPr>
          <w:p>
            <w:pPr>
              <w:jc w:val="center"/>
              <w:rPr>
                <w:color w:val="000000"/>
                <w:kern w:val="0"/>
                <w:sz w:val="18"/>
                <w:szCs w:val="18"/>
              </w:rPr>
            </w:pPr>
            <w:r>
              <w:rPr>
                <w:color w:val="000000"/>
                <w:kern w:val="0"/>
                <w:sz w:val="18"/>
                <w:szCs w:val="18"/>
              </w:rPr>
              <w:t>3,939</w:t>
            </w:r>
          </w:p>
        </w:tc>
        <w:tc>
          <w:tcPr>
            <w:tcW w:w="1525" w:type="dxa"/>
            <w:vAlign w:val="center"/>
          </w:tcPr>
          <w:p>
            <w:pPr>
              <w:jc w:val="center"/>
              <w:rPr>
                <w:color w:val="000000"/>
                <w:kern w:val="0"/>
                <w:sz w:val="18"/>
                <w:szCs w:val="18"/>
              </w:rPr>
            </w:pPr>
            <w:r>
              <w:rPr>
                <w:color w:val="000000"/>
                <w:kern w:val="0"/>
                <w:sz w:val="18"/>
                <w:szCs w:val="18"/>
              </w:rPr>
              <w:t>28,079,423.92</w:t>
            </w:r>
          </w:p>
        </w:tc>
        <w:tc>
          <w:tcPr>
            <w:tcW w:w="1524" w:type="dxa"/>
            <w:vAlign w:val="center"/>
          </w:tcPr>
          <w:p>
            <w:pPr>
              <w:jc w:val="center"/>
              <w:rPr>
                <w:color w:val="000000"/>
                <w:kern w:val="0"/>
                <w:sz w:val="18"/>
                <w:szCs w:val="18"/>
              </w:rPr>
            </w:pPr>
            <w:r>
              <w:rPr>
                <w:color w:val="000000"/>
                <w:kern w:val="0"/>
                <w:sz w:val="18"/>
                <w:szCs w:val="18"/>
              </w:rPr>
              <w:t>5,455,557.67</w:t>
            </w:r>
          </w:p>
        </w:tc>
        <w:tc>
          <w:tcPr>
            <w:tcW w:w="834" w:type="dxa"/>
            <w:vAlign w:val="center"/>
          </w:tcPr>
          <w:p>
            <w:pPr>
              <w:jc w:val="center"/>
              <w:rPr>
                <w:color w:val="000000"/>
                <w:kern w:val="0"/>
                <w:sz w:val="18"/>
                <w:szCs w:val="18"/>
              </w:rPr>
            </w:pPr>
            <w:r>
              <w:rPr>
                <w:color w:val="000000"/>
                <w:kern w:val="0"/>
                <w:sz w:val="18"/>
                <w:szCs w:val="18"/>
              </w:rPr>
              <w:t>0</w:t>
            </w:r>
          </w:p>
        </w:tc>
        <w:tc>
          <w:tcPr>
            <w:tcW w:w="835" w:type="dxa"/>
            <w:vAlign w:val="center"/>
          </w:tcPr>
          <w:p>
            <w:pPr>
              <w:jc w:val="center"/>
              <w:rPr>
                <w:color w:val="000000"/>
                <w:kern w:val="0"/>
                <w:sz w:val="18"/>
                <w:szCs w:val="18"/>
              </w:rPr>
            </w:pPr>
            <w:r>
              <w:rPr>
                <w:color w:val="000000"/>
                <w:kern w:val="0"/>
                <w:sz w:val="18"/>
                <w:szCs w:val="18"/>
              </w:rPr>
              <w:t>170.80</w:t>
            </w:r>
          </w:p>
        </w:tc>
        <w:tc>
          <w:tcPr>
            <w:tcW w:w="1463" w:type="dxa"/>
            <w:vAlign w:val="center"/>
          </w:tcPr>
          <w:p>
            <w:pPr>
              <w:jc w:val="center"/>
              <w:rPr>
                <w:color w:val="000000"/>
                <w:kern w:val="0"/>
                <w:sz w:val="18"/>
                <w:szCs w:val="18"/>
              </w:rPr>
            </w:pPr>
            <w:r>
              <w:rPr>
                <w:color w:val="000000"/>
                <w:kern w:val="0"/>
                <w:sz w:val="18"/>
                <w:szCs w:val="18"/>
              </w:rPr>
              <w:t>33,535,152.39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shd w:val="clear" w:color="auto" w:fill="auto"/>
            <w:vAlign w:val="center"/>
          </w:tcPr>
          <w:p>
            <w:pPr>
              <w:widowControl/>
              <w:autoSpaceDE/>
              <w:autoSpaceDN/>
              <w:adjustRightInd/>
              <w:jc w:val="center"/>
              <w:rPr>
                <w:rFonts w:ascii="楷体_GB2312" w:hAnsi="宋体" w:eastAsia="楷体_GB2312" w:cs="宋体"/>
                <w:b/>
                <w:bCs/>
                <w:color w:val="000000"/>
                <w:kern w:val="0"/>
              </w:rPr>
            </w:pPr>
            <w:r>
              <w:rPr>
                <w:rFonts w:hint="eastAsia" w:ascii="楷体_GB2312" w:hAnsi="宋体" w:eastAsia="楷体_GB2312" w:cs="宋体"/>
                <w:b/>
                <w:bCs/>
                <w:color w:val="000000"/>
                <w:kern w:val="0"/>
              </w:rPr>
              <w:t>可归入本金回收款</w:t>
            </w:r>
          </w:p>
        </w:tc>
        <w:tc>
          <w:tcPr>
            <w:tcW w:w="6938" w:type="dxa"/>
            <w:gridSpan w:val="6"/>
            <w:shd w:val="clear" w:color="000000" w:fill="FFFFFF"/>
            <w:vAlign w:val="center"/>
          </w:tcPr>
          <w:p>
            <w:pPr>
              <w:jc w:val="center"/>
              <w:rPr>
                <w:color w:val="000000"/>
                <w:kern w:val="0"/>
                <w:sz w:val="18"/>
                <w:szCs w:val="18"/>
              </w:rPr>
            </w:pPr>
            <w:r>
              <w:rPr>
                <w:color w:val="000000"/>
                <w:kern w:val="0"/>
                <w:sz w:val="18"/>
                <w:szCs w:val="18"/>
              </w:rPr>
              <w:t>22,690,762.86</w:t>
            </w:r>
          </w:p>
        </w:tc>
        <w:tc>
          <w:tcPr>
            <w:tcW w:w="6877" w:type="dxa"/>
            <w:gridSpan w:val="6"/>
            <w:shd w:val="clear" w:color="000000" w:fill="FFFFFF"/>
            <w:vAlign w:val="center"/>
          </w:tcPr>
          <w:p>
            <w:pPr>
              <w:jc w:val="center"/>
              <w:rPr>
                <w:color w:val="000000"/>
                <w:kern w:val="0"/>
                <w:sz w:val="18"/>
                <w:szCs w:val="18"/>
              </w:rPr>
            </w:pPr>
            <w:r>
              <w:rPr>
                <w:color w:val="000000"/>
                <w:kern w:val="0"/>
                <w:sz w:val="18"/>
                <w:szCs w:val="18"/>
              </w:rPr>
              <w:t>28,079,423.92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shd w:val="clear" w:color="auto" w:fill="auto"/>
            <w:vAlign w:val="center"/>
          </w:tcPr>
          <w:p>
            <w:pPr>
              <w:widowControl/>
              <w:autoSpaceDE/>
              <w:autoSpaceDN/>
              <w:adjustRightInd/>
              <w:jc w:val="center"/>
              <w:rPr>
                <w:rFonts w:ascii="楷体_GB2312" w:hAnsi="宋体" w:eastAsia="楷体_GB2312" w:cs="宋体"/>
                <w:b/>
                <w:bCs/>
                <w:color w:val="000000"/>
                <w:kern w:val="0"/>
              </w:rPr>
            </w:pPr>
            <w:r>
              <w:rPr>
                <w:rFonts w:hint="eastAsia" w:ascii="楷体_GB2312" w:hAnsi="宋体" w:eastAsia="楷体_GB2312" w:cs="宋体"/>
                <w:b/>
                <w:bCs/>
                <w:color w:val="000000"/>
                <w:kern w:val="0"/>
              </w:rPr>
              <w:t>可归入收入回收款</w:t>
            </w:r>
          </w:p>
        </w:tc>
        <w:tc>
          <w:tcPr>
            <w:tcW w:w="6938" w:type="dxa"/>
            <w:gridSpan w:val="6"/>
            <w:shd w:val="clear" w:color="000000" w:fill="FFFFFF"/>
            <w:vAlign w:val="center"/>
          </w:tcPr>
          <w:p>
            <w:pPr>
              <w:jc w:val="center"/>
              <w:rPr>
                <w:color w:val="000000"/>
                <w:kern w:val="0"/>
                <w:sz w:val="18"/>
                <w:szCs w:val="18"/>
              </w:rPr>
            </w:pPr>
            <w:r>
              <w:rPr>
                <w:color w:val="000000"/>
                <w:kern w:val="0"/>
                <w:sz w:val="18"/>
                <w:szCs w:val="18"/>
              </w:rPr>
              <w:t>5,351,632.44</w:t>
            </w:r>
          </w:p>
        </w:tc>
        <w:tc>
          <w:tcPr>
            <w:tcW w:w="6877" w:type="dxa"/>
            <w:gridSpan w:val="6"/>
            <w:shd w:val="clear" w:color="000000" w:fill="FFFFFF"/>
            <w:vAlign w:val="center"/>
          </w:tcPr>
          <w:p>
            <w:pPr>
              <w:jc w:val="center"/>
              <w:rPr>
                <w:color w:val="000000"/>
                <w:kern w:val="0"/>
                <w:sz w:val="18"/>
                <w:szCs w:val="18"/>
              </w:rPr>
            </w:pPr>
            <w:r>
              <w:rPr>
                <w:color w:val="000000"/>
                <w:kern w:val="0"/>
                <w:sz w:val="18"/>
                <w:szCs w:val="18"/>
              </w:rPr>
              <w:t>5,455,728.47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339" w:type="dxa"/>
            <w:gridSpan w:val="13"/>
            <w:vAlign w:val="center"/>
          </w:tcPr>
          <w:p>
            <w:pPr>
              <w:jc w:val="center"/>
              <w:rPr>
                <w:color w:val="000000"/>
                <w:kern w:val="0"/>
                <w:sz w:val="18"/>
                <w:szCs w:val="18"/>
              </w:rPr>
            </w:pPr>
            <w:r>
              <w:rPr>
                <w:rFonts w:hint="eastAsia"/>
                <w:color w:val="000000"/>
                <w:kern w:val="0"/>
                <w:sz w:val="18"/>
                <w:szCs w:val="18"/>
              </w:rPr>
              <w:t>信托账户从其他方收到回收款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划内还款</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提前还款</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部分提前还款</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提前结清</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拖欠回收</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违约回收</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住房贷款赎回</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清仓回购</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违约贷款出售</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vAlign w:val="center"/>
          </w:tcPr>
          <w:p>
            <w:pPr>
              <w:widowControl/>
              <w:autoSpaceDE/>
              <w:autoSpaceDN/>
              <w:adjustRightInd/>
              <w:jc w:val="center"/>
              <w:rPr>
                <w:rFonts w:ascii="楷体_GB2312" w:hAnsi="宋体" w:eastAsia="楷体_GB2312" w:cs="宋体"/>
                <w:color w:val="000000"/>
                <w:kern w:val="0"/>
              </w:rPr>
            </w:pPr>
            <w:r>
              <w:rPr>
                <w:rFonts w:hint="eastAsia" w:ascii="楷体_GB2312" w:hAnsi="宋体" w:eastAsia="楷体_GB2312" w:cs="宋体"/>
                <w:color w:val="000000"/>
                <w:kern w:val="0"/>
              </w:rPr>
              <w:t>合计</w:t>
            </w:r>
          </w:p>
        </w:tc>
        <w:tc>
          <w:tcPr>
            <w:tcW w:w="696"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696" w:type="dxa"/>
            <w:vAlign w:val="center"/>
          </w:tcPr>
          <w:p>
            <w:pPr>
              <w:jc w:val="center"/>
              <w:rPr>
                <w:color w:val="000000"/>
                <w:kern w:val="0"/>
                <w:sz w:val="18"/>
                <w:szCs w:val="18"/>
              </w:rPr>
            </w:pPr>
          </w:p>
        </w:tc>
        <w:tc>
          <w:tcPr>
            <w:tcW w:w="1525" w:type="dxa"/>
            <w:vAlign w:val="center"/>
          </w:tcPr>
          <w:p>
            <w:pPr>
              <w:jc w:val="center"/>
              <w:rPr>
                <w:color w:val="000000"/>
                <w:kern w:val="0"/>
                <w:sz w:val="18"/>
                <w:szCs w:val="18"/>
              </w:rPr>
            </w:pPr>
          </w:p>
        </w:tc>
        <w:tc>
          <w:tcPr>
            <w:tcW w:w="1524" w:type="dxa"/>
            <w:vAlign w:val="center"/>
          </w:tcPr>
          <w:p>
            <w:pPr>
              <w:jc w:val="center"/>
              <w:rPr>
                <w:color w:val="000000"/>
                <w:kern w:val="0"/>
                <w:sz w:val="18"/>
                <w:szCs w:val="18"/>
              </w:rPr>
            </w:pPr>
          </w:p>
        </w:tc>
        <w:tc>
          <w:tcPr>
            <w:tcW w:w="834" w:type="dxa"/>
            <w:vAlign w:val="center"/>
          </w:tcPr>
          <w:p>
            <w:pPr>
              <w:jc w:val="center"/>
              <w:rPr>
                <w:color w:val="000000"/>
                <w:kern w:val="0"/>
                <w:sz w:val="18"/>
                <w:szCs w:val="18"/>
              </w:rPr>
            </w:pPr>
          </w:p>
        </w:tc>
        <w:tc>
          <w:tcPr>
            <w:tcW w:w="835" w:type="dxa"/>
            <w:vAlign w:val="center"/>
          </w:tcPr>
          <w:p>
            <w:pPr>
              <w:jc w:val="center"/>
              <w:rPr>
                <w:color w:val="000000"/>
                <w:kern w:val="0"/>
                <w:sz w:val="18"/>
                <w:szCs w:val="18"/>
              </w:rPr>
            </w:pPr>
          </w:p>
        </w:tc>
        <w:tc>
          <w:tcPr>
            <w:tcW w:w="1463" w:type="dxa"/>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shd w:val="clear" w:color="auto" w:fill="auto"/>
            <w:vAlign w:val="center"/>
          </w:tcPr>
          <w:p>
            <w:pPr>
              <w:widowControl/>
              <w:autoSpaceDE/>
              <w:autoSpaceDN/>
              <w:adjustRightInd/>
              <w:jc w:val="center"/>
              <w:rPr>
                <w:rFonts w:ascii="楷体_GB2312" w:hAnsi="宋体" w:eastAsia="楷体_GB2312" w:cs="宋体"/>
                <w:b/>
                <w:bCs/>
                <w:color w:val="000000"/>
                <w:kern w:val="0"/>
              </w:rPr>
            </w:pPr>
            <w:r>
              <w:rPr>
                <w:rFonts w:hint="eastAsia" w:ascii="楷体_GB2312" w:hAnsi="宋体" w:eastAsia="楷体_GB2312" w:cs="宋体"/>
                <w:b/>
                <w:bCs/>
                <w:color w:val="000000"/>
                <w:kern w:val="0"/>
              </w:rPr>
              <w:t>可归入本金回收款</w:t>
            </w:r>
          </w:p>
        </w:tc>
        <w:tc>
          <w:tcPr>
            <w:tcW w:w="6938" w:type="dxa"/>
            <w:gridSpan w:val="6"/>
            <w:shd w:val="clear" w:color="000000" w:fill="FFFFFF"/>
            <w:vAlign w:val="center"/>
          </w:tcPr>
          <w:p>
            <w:pPr>
              <w:jc w:val="center"/>
              <w:rPr>
                <w:color w:val="000000"/>
                <w:kern w:val="0"/>
                <w:sz w:val="18"/>
                <w:szCs w:val="18"/>
              </w:rPr>
            </w:pPr>
          </w:p>
        </w:tc>
        <w:tc>
          <w:tcPr>
            <w:tcW w:w="6877" w:type="dxa"/>
            <w:gridSpan w:val="6"/>
            <w:shd w:val="clear" w:color="000000" w:fill="FFFFFF"/>
            <w:vAlign w:val="center"/>
          </w:tcPr>
          <w:p>
            <w:pPr>
              <w:jc w:val="center"/>
              <w:rPr>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4" w:type="dxa"/>
            <w:shd w:val="clear" w:color="auto" w:fill="auto"/>
            <w:vAlign w:val="center"/>
          </w:tcPr>
          <w:p>
            <w:pPr>
              <w:widowControl/>
              <w:autoSpaceDE/>
              <w:autoSpaceDN/>
              <w:adjustRightInd/>
              <w:jc w:val="center"/>
              <w:rPr>
                <w:rFonts w:ascii="楷体_GB2312" w:hAnsi="宋体" w:eastAsia="楷体_GB2312" w:cs="宋体"/>
                <w:b/>
                <w:bCs/>
                <w:color w:val="000000"/>
                <w:kern w:val="0"/>
              </w:rPr>
            </w:pPr>
            <w:r>
              <w:rPr>
                <w:rFonts w:hint="eastAsia" w:ascii="楷体_GB2312" w:hAnsi="宋体" w:eastAsia="楷体_GB2312" w:cs="宋体"/>
                <w:b/>
                <w:bCs/>
                <w:color w:val="000000"/>
                <w:kern w:val="0"/>
              </w:rPr>
              <w:t>可归入收入回收款</w:t>
            </w:r>
          </w:p>
        </w:tc>
        <w:tc>
          <w:tcPr>
            <w:tcW w:w="6938" w:type="dxa"/>
            <w:gridSpan w:val="6"/>
            <w:shd w:val="clear" w:color="000000" w:fill="FFFFFF"/>
            <w:vAlign w:val="center"/>
          </w:tcPr>
          <w:p>
            <w:pPr>
              <w:widowControl/>
              <w:autoSpaceDE/>
              <w:autoSpaceDN/>
              <w:adjustRightInd/>
              <w:jc w:val="center"/>
              <w:rPr>
                <w:color w:val="000000"/>
                <w:kern w:val="0"/>
              </w:rPr>
            </w:pPr>
          </w:p>
        </w:tc>
        <w:tc>
          <w:tcPr>
            <w:tcW w:w="6877" w:type="dxa"/>
            <w:gridSpan w:val="6"/>
            <w:shd w:val="clear" w:color="000000" w:fill="FFFFFF"/>
            <w:vAlign w:val="center"/>
          </w:tcPr>
          <w:p>
            <w:pPr>
              <w:widowControl/>
              <w:autoSpaceDE/>
              <w:autoSpaceDN/>
              <w:adjustRightInd/>
              <w:jc w:val="center"/>
              <w:rPr>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1" w:hRule="atLeast"/>
        </w:trPr>
        <w:tc>
          <w:tcPr>
            <w:tcW w:w="1524" w:type="dxa"/>
            <w:vAlign w:val="center"/>
          </w:tcPr>
          <w:p>
            <w:pPr>
              <w:widowControl/>
              <w:autoSpaceDE/>
              <w:autoSpaceDN/>
              <w:adjustRightInd/>
              <w:jc w:val="center"/>
              <w:rPr>
                <w:rFonts w:ascii="楷体_GB2312" w:hAnsi="宋体" w:eastAsia="楷体_GB2312" w:cs="宋体"/>
                <w:color w:val="000000"/>
                <w:kern w:val="0"/>
                <w:sz w:val="20"/>
                <w:szCs w:val="20"/>
              </w:rPr>
            </w:pPr>
            <w:r>
              <w:rPr>
                <w:rFonts w:hint="eastAsia" w:ascii="楷体_GB2312" w:hAnsi="宋体" w:eastAsia="楷体_GB2312" w:cs="宋体"/>
                <w:color w:val="000000"/>
                <w:kern w:val="0"/>
                <w:sz w:val="20"/>
                <w:szCs w:val="20"/>
              </w:rPr>
              <w:t>说明：</w:t>
            </w:r>
          </w:p>
        </w:tc>
        <w:tc>
          <w:tcPr>
            <w:tcW w:w="13815" w:type="dxa"/>
            <w:gridSpan w:val="12"/>
            <w:vAlign w:val="center"/>
          </w:tcPr>
          <w:p>
            <w:pPr>
              <w:widowControl/>
              <w:autoSpaceDE/>
              <w:autoSpaceDN/>
              <w:adjustRightInd/>
              <w:rPr>
                <w:rFonts w:ascii="楷体_GB2312" w:eastAsia="楷体_GB2312"/>
                <w:color w:val="000000"/>
                <w:kern w:val="0"/>
                <w:sz w:val="20"/>
                <w:szCs w:val="20"/>
              </w:rPr>
            </w:pPr>
            <w:r>
              <w:rPr>
                <w:color w:val="000000"/>
                <w:kern w:val="0"/>
                <w:sz w:val="20"/>
                <w:szCs w:val="20"/>
              </w:rPr>
              <w:t>1.“</w:t>
            </w:r>
            <w:r>
              <w:rPr>
                <w:rFonts w:hint="eastAsia" w:ascii="楷体_GB2312" w:eastAsia="楷体_GB2312"/>
                <w:color w:val="000000"/>
                <w:kern w:val="0"/>
                <w:sz w:val="20"/>
                <w:szCs w:val="20"/>
              </w:rPr>
              <w:t>抵押贷款笔数</w:t>
            </w:r>
            <w:r>
              <w:rPr>
                <w:color w:val="000000"/>
                <w:kern w:val="0"/>
                <w:sz w:val="20"/>
                <w:szCs w:val="20"/>
              </w:rPr>
              <w:t>”</w:t>
            </w:r>
            <w:r>
              <w:rPr>
                <w:rFonts w:hint="eastAsia" w:ascii="楷体_GB2312" w:eastAsia="楷体_GB2312"/>
                <w:color w:val="000000"/>
                <w:kern w:val="0"/>
                <w:sz w:val="20"/>
                <w:szCs w:val="20"/>
              </w:rPr>
              <w:t>指贷款的合同个数；</w:t>
            </w:r>
          </w:p>
          <w:p>
            <w:pPr>
              <w:widowControl/>
              <w:autoSpaceDE/>
              <w:autoSpaceDN/>
              <w:adjustRightInd/>
              <w:rPr>
                <w:rFonts w:ascii="楷体_GB2312" w:eastAsia="楷体_GB2312"/>
                <w:color w:val="000000"/>
                <w:kern w:val="0"/>
                <w:sz w:val="20"/>
                <w:szCs w:val="20"/>
              </w:rPr>
            </w:pPr>
            <w:r>
              <w:rPr>
                <w:color w:val="000000"/>
                <w:kern w:val="0"/>
                <w:sz w:val="20"/>
                <w:szCs w:val="20"/>
              </w:rPr>
              <w:t>2.“</w:t>
            </w:r>
            <w:r>
              <w:rPr>
                <w:rFonts w:hint="eastAsia" w:ascii="楷体_GB2312" w:eastAsia="楷体_GB2312"/>
                <w:color w:val="000000"/>
                <w:kern w:val="0"/>
                <w:sz w:val="20"/>
                <w:szCs w:val="20"/>
              </w:rPr>
              <w:t>利息</w:t>
            </w:r>
            <w:r>
              <w:rPr>
                <w:color w:val="000000"/>
                <w:kern w:val="0"/>
                <w:sz w:val="20"/>
                <w:szCs w:val="20"/>
              </w:rPr>
              <w:t>”</w:t>
            </w:r>
            <w:r>
              <w:rPr>
                <w:rFonts w:hint="eastAsia" w:ascii="楷体_GB2312" w:eastAsia="楷体_GB2312"/>
                <w:color w:val="000000"/>
                <w:kern w:val="0"/>
                <w:sz w:val="20"/>
                <w:szCs w:val="20"/>
              </w:rPr>
              <w:t>项下包括入池抵押贷款收款期间产生的贷款利息和罚息；</w:t>
            </w:r>
          </w:p>
          <w:p>
            <w:pPr>
              <w:widowControl/>
              <w:autoSpaceDE/>
              <w:autoSpaceDN/>
              <w:adjustRightInd/>
              <w:rPr>
                <w:rFonts w:ascii="楷体_GB2312" w:eastAsia="楷体_GB2312"/>
                <w:color w:val="000000"/>
                <w:kern w:val="0"/>
                <w:sz w:val="20"/>
                <w:szCs w:val="20"/>
              </w:rPr>
            </w:pPr>
            <w:r>
              <w:rPr>
                <w:color w:val="000000"/>
                <w:kern w:val="0"/>
                <w:sz w:val="20"/>
                <w:szCs w:val="20"/>
              </w:rPr>
              <w:t>3.“</w:t>
            </w:r>
            <w:r>
              <w:rPr>
                <w:rFonts w:hint="eastAsia" w:ascii="楷体_GB2312" w:eastAsia="楷体_GB2312"/>
                <w:color w:val="000000"/>
                <w:kern w:val="0"/>
                <w:sz w:val="20"/>
                <w:szCs w:val="20"/>
              </w:rPr>
              <w:t>提前还款</w:t>
            </w:r>
            <w:r>
              <w:rPr>
                <w:color w:val="000000"/>
                <w:kern w:val="0"/>
                <w:sz w:val="20"/>
                <w:szCs w:val="20"/>
              </w:rPr>
              <w:t>”</w:t>
            </w:r>
            <w:r>
              <w:rPr>
                <w:rFonts w:hint="eastAsia" w:ascii="楷体_GB2312" w:eastAsia="楷体_GB2312"/>
                <w:color w:val="000000"/>
                <w:kern w:val="0"/>
                <w:sz w:val="20"/>
                <w:szCs w:val="20"/>
              </w:rPr>
              <w:t>指客户偿还贷款本金的时间早于合同约定还款日十天以上的情况，</w:t>
            </w:r>
            <w:r>
              <w:rPr>
                <w:color w:val="000000"/>
                <w:kern w:val="0"/>
                <w:sz w:val="20"/>
                <w:szCs w:val="20"/>
              </w:rPr>
              <w:t>“</w:t>
            </w:r>
            <w:r>
              <w:rPr>
                <w:rFonts w:hint="eastAsia" w:ascii="楷体_GB2312" w:eastAsia="楷体_GB2312"/>
                <w:color w:val="000000"/>
                <w:kern w:val="0"/>
                <w:sz w:val="20"/>
                <w:szCs w:val="20"/>
              </w:rPr>
              <w:t>提前还款</w:t>
            </w:r>
            <w:r>
              <w:rPr>
                <w:color w:val="000000"/>
                <w:kern w:val="0"/>
                <w:sz w:val="20"/>
                <w:szCs w:val="20"/>
              </w:rPr>
              <w:t>”</w:t>
            </w:r>
            <w:r>
              <w:rPr>
                <w:rFonts w:hint="eastAsia" w:ascii="楷体_GB2312" w:eastAsia="楷体_GB2312"/>
                <w:color w:val="000000"/>
                <w:kern w:val="0"/>
                <w:sz w:val="20"/>
                <w:szCs w:val="20"/>
              </w:rPr>
              <w:t>分为</w:t>
            </w:r>
            <w:r>
              <w:rPr>
                <w:color w:val="000000"/>
                <w:kern w:val="0"/>
                <w:sz w:val="20"/>
                <w:szCs w:val="20"/>
              </w:rPr>
              <w:t>“</w:t>
            </w:r>
            <w:r>
              <w:rPr>
                <w:rFonts w:hint="eastAsia" w:ascii="楷体_GB2312" w:eastAsia="楷体_GB2312"/>
                <w:color w:val="000000"/>
                <w:kern w:val="0"/>
                <w:sz w:val="20"/>
                <w:szCs w:val="20"/>
              </w:rPr>
              <w:t>提前结清</w:t>
            </w:r>
            <w:r>
              <w:rPr>
                <w:color w:val="000000"/>
                <w:kern w:val="0"/>
                <w:sz w:val="20"/>
                <w:szCs w:val="20"/>
              </w:rPr>
              <w:t>”</w:t>
            </w:r>
            <w:r>
              <w:rPr>
                <w:rFonts w:hint="eastAsia" w:ascii="楷体_GB2312" w:eastAsia="楷体_GB2312"/>
                <w:color w:val="000000"/>
                <w:kern w:val="0"/>
                <w:sz w:val="20"/>
                <w:szCs w:val="20"/>
              </w:rPr>
              <w:t>和</w:t>
            </w:r>
            <w:r>
              <w:rPr>
                <w:color w:val="000000"/>
                <w:kern w:val="0"/>
                <w:sz w:val="20"/>
                <w:szCs w:val="20"/>
              </w:rPr>
              <w:t>“</w:t>
            </w:r>
            <w:r>
              <w:rPr>
                <w:rFonts w:hint="eastAsia" w:ascii="楷体_GB2312" w:eastAsia="楷体_GB2312"/>
                <w:color w:val="000000"/>
                <w:kern w:val="0"/>
                <w:sz w:val="20"/>
                <w:szCs w:val="20"/>
              </w:rPr>
              <w:t>部分提前还款</w:t>
            </w:r>
            <w:r>
              <w:rPr>
                <w:color w:val="000000"/>
                <w:kern w:val="0"/>
                <w:sz w:val="20"/>
                <w:szCs w:val="20"/>
              </w:rPr>
              <w:t>”</w:t>
            </w:r>
            <w:r>
              <w:rPr>
                <w:rFonts w:hint="eastAsia" w:ascii="楷体_GB2312" w:eastAsia="楷体_GB2312"/>
                <w:color w:val="000000"/>
                <w:kern w:val="0"/>
                <w:sz w:val="20"/>
                <w:szCs w:val="20"/>
              </w:rPr>
              <w:t>；</w:t>
            </w:r>
          </w:p>
          <w:p>
            <w:pPr>
              <w:widowControl/>
              <w:autoSpaceDE/>
              <w:autoSpaceDN/>
              <w:adjustRightInd/>
              <w:rPr>
                <w:rFonts w:ascii="楷体_GB2312" w:eastAsia="楷体_GB2312"/>
                <w:color w:val="000000"/>
                <w:kern w:val="0"/>
                <w:sz w:val="20"/>
                <w:szCs w:val="20"/>
              </w:rPr>
            </w:pPr>
            <w:r>
              <w:rPr>
                <w:color w:val="000000"/>
                <w:kern w:val="0"/>
                <w:sz w:val="20"/>
                <w:szCs w:val="20"/>
              </w:rPr>
              <w:t>4.“</w:t>
            </w:r>
            <w:r>
              <w:rPr>
                <w:rFonts w:hint="eastAsia" w:ascii="楷体_GB2312" w:eastAsia="楷体_GB2312"/>
                <w:color w:val="000000"/>
                <w:kern w:val="0"/>
                <w:sz w:val="20"/>
                <w:szCs w:val="20"/>
              </w:rPr>
              <w:t>提前结清</w:t>
            </w:r>
            <w:r>
              <w:rPr>
                <w:color w:val="000000"/>
                <w:kern w:val="0"/>
                <w:sz w:val="20"/>
                <w:szCs w:val="20"/>
              </w:rPr>
              <w:t>”</w:t>
            </w:r>
            <w:r>
              <w:rPr>
                <w:rFonts w:hint="eastAsia" w:ascii="楷体_GB2312" w:eastAsia="楷体_GB2312"/>
                <w:color w:val="000000"/>
                <w:kern w:val="0"/>
                <w:sz w:val="20"/>
                <w:szCs w:val="20"/>
              </w:rPr>
              <w:t>指客户早偿后将同一合同项下入池贷款全部偿还完毕，否则则记入</w:t>
            </w:r>
            <w:r>
              <w:rPr>
                <w:color w:val="000000"/>
                <w:kern w:val="0"/>
                <w:sz w:val="20"/>
                <w:szCs w:val="20"/>
              </w:rPr>
              <w:t>“</w:t>
            </w:r>
            <w:r>
              <w:rPr>
                <w:rFonts w:hint="eastAsia" w:ascii="楷体_GB2312" w:eastAsia="楷体_GB2312"/>
                <w:color w:val="000000"/>
                <w:kern w:val="0"/>
                <w:sz w:val="20"/>
                <w:szCs w:val="20"/>
              </w:rPr>
              <w:t>部分提前还款</w:t>
            </w:r>
            <w:r>
              <w:rPr>
                <w:color w:val="000000"/>
                <w:kern w:val="0"/>
                <w:sz w:val="20"/>
                <w:szCs w:val="20"/>
              </w:rPr>
              <w:t>”</w:t>
            </w:r>
            <w:r>
              <w:rPr>
                <w:rFonts w:hint="eastAsia" w:ascii="楷体_GB2312" w:eastAsia="楷体_GB2312"/>
                <w:color w:val="000000"/>
                <w:kern w:val="0"/>
                <w:sz w:val="20"/>
                <w:szCs w:val="20"/>
              </w:rPr>
              <w:t>项中；</w:t>
            </w:r>
          </w:p>
          <w:p>
            <w:pPr>
              <w:widowControl/>
              <w:autoSpaceDE/>
              <w:autoSpaceDN/>
              <w:adjustRightInd/>
              <w:rPr>
                <w:rFonts w:ascii="楷体_GB2312" w:eastAsia="楷体_GB2312"/>
                <w:color w:val="000000"/>
                <w:kern w:val="0"/>
                <w:sz w:val="20"/>
                <w:szCs w:val="20"/>
              </w:rPr>
            </w:pPr>
            <w:r>
              <w:rPr>
                <w:color w:val="000000"/>
                <w:kern w:val="0"/>
                <w:sz w:val="20"/>
                <w:szCs w:val="20"/>
              </w:rPr>
              <w:t>5.“</w:t>
            </w:r>
            <w:r>
              <w:rPr>
                <w:rFonts w:hint="eastAsia" w:ascii="楷体_GB2312" w:eastAsia="楷体_GB2312"/>
                <w:color w:val="000000"/>
                <w:kern w:val="0"/>
                <w:sz w:val="20"/>
                <w:szCs w:val="20"/>
              </w:rPr>
              <w:t>本金回收款</w:t>
            </w:r>
            <w:r>
              <w:rPr>
                <w:color w:val="000000"/>
                <w:kern w:val="0"/>
                <w:sz w:val="20"/>
                <w:szCs w:val="20"/>
              </w:rPr>
              <w:t>”</w:t>
            </w:r>
            <w:r>
              <w:rPr>
                <w:rFonts w:hint="eastAsia" w:ascii="楷体_GB2312" w:eastAsia="楷体_GB2312"/>
                <w:color w:val="000000"/>
                <w:kern w:val="0"/>
                <w:sz w:val="20"/>
                <w:szCs w:val="20"/>
              </w:rPr>
              <w:t>指收款期间收回的贷款本金额，</w:t>
            </w:r>
            <w:r>
              <w:rPr>
                <w:color w:val="000000"/>
                <w:kern w:val="0"/>
                <w:sz w:val="20"/>
                <w:szCs w:val="20"/>
              </w:rPr>
              <w:t>“</w:t>
            </w:r>
            <w:r>
              <w:rPr>
                <w:rFonts w:hint="eastAsia" w:ascii="楷体_GB2312" w:eastAsia="楷体_GB2312"/>
                <w:color w:val="000000"/>
                <w:kern w:val="0"/>
                <w:sz w:val="20"/>
                <w:szCs w:val="20"/>
              </w:rPr>
              <w:t>收入回收款</w:t>
            </w:r>
            <w:r>
              <w:rPr>
                <w:color w:val="000000"/>
                <w:kern w:val="0"/>
                <w:sz w:val="20"/>
                <w:szCs w:val="20"/>
              </w:rPr>
              <w:t>”</w:t>
            </w:r>
            <w:r>
              <w:rPr>
                <w:rFonts w:hint="eastAsia" w:ascii="楷体_GB2312" w:eastAsia="楷体_GB2312"/>
                <w:color w:val="000000"/>
                <w:kern w:val="0"/>
                <w:sz w:val="20"/>
                <w:szCs w:val="20"/>
              </w:rPr>
              <w:t>指除</w:t>
            </w:r>
            <w:r>
              <w:rPr>
                <w:color w:val="000000"/>
                <w:kern w:val="0"/>
                <w:sz w:val="20"/>
                <w:szCs w:val="20"/>
              </w:rPr>
              <w:t>“</w:t>
            </w:r>
            <w:r>
              <w:rPr>
                <w:rFonts w:hint="eastAsia" w:ascii="楷体_GB2312" w:eastAsia="楷体_GB2312"/>
                <w:color w:val="000000"/>
                <w:kern w:val="0"/>
                <w:sz w:val="20"/>
                <w:szCs w:val="20"/>
              </w:rPr>
              <w:t>本金回收款</w:t>
            </w:r>
            <w:r>
              <w:rPr>
                <w:color w:val="000000"/>
                <w:kern w:val="0"/>
                <w:sz w:val="20"/>
                <w:szCs w:val="20"/>
              </w:rPr>
              <w:t>”</w:t>
            </w:r>
            <w:r>
              <w:rPr>
                <w:rFonts w:hint="eastAsia" w:ascii="楷体_GB2312" w:eastAsia="楷体_GB2312"/>
                <w:color w:val="000000"/>
                <w:kern w:val="0"/>
                <w:sz w:val="20"/>
                <w:szCs w:val="20"/>
              </w:rPr>
              <w:t>外的回收款合计金额。</w:t>
            </w:r>
          </w:p>
          <w:p>
            <w:pPr>
              <w:widowControl/>
              <w:autoSpaceDE/>
              <w:autoSpaceDN/>
              <w:adjustRightInd/>
              <w:rPr>
                <w:rFonts w:ascii="楷体_GB2312" w:eastAsia="楷体_GB2312"/>
                <w:b/>
                <w:color w:val="000000"/>
                <w:kern w:val="0"/>
                <w:sz w:val="20"/>
                <w:szCs w:val="20"/>
              </w:rPr>
            </w:pPr>
            <w:r>
              <w:rPr>
                <w:rFonts w:hint="eastAsia" w:ascii="楷体_GB2312" w:eastAsia="楷体_GB2312"/>
                <w:b/>
                <w:color w:val="000000"/>
                <w:kern w:val="0"/>
                <w:sz w:val="20"/>
                <w:szCs w:val="20"/>
              </w:rPr>
              <w:t>备注：</w:t>
            </w:r>
          </w:p>
          <w:p>
            <w:pPr>
              <w:widowControl/>
              <w:autoSpaceDE/>
              <w:adjustRightInd/>
              <w:rPr>
                <w:rFonts w:ascii="楷体_GB2312" w:eastAsia="楷体_GB2312"/>
                <w:color w:val="000000"/>
                <w:kern w:val="0"/>
                <w:sz w:val="20"/>
                <w:szCs w:val="20"/>
              </w:rPr>
            </w:pPr>
            <w:r>
              <w:rPr>
                <w:rFonts w:hint="eastAsia" w:ascii="楷体_GB2312" w:eastAsia="楷体_GB2312"/>
                <w:color w:val="000000"/>
                <w:kern w:val="0"/>
                <w:sz w:val="20"/>
                <w:szCs w:val="20"/>
              </w:rPr>
              <w:t>1.表中“住房贷款笔数”各子项是按实际发生笔数统计，鉴于一笔贷款在收款期内可能出现既计划内还款，同时又部分提前还款、提前结清或拖欠回收的情形，因此子项的算术合计数大于表中“合计”栏数值。</w:t>
            </w:r>
          </w:p>
          <w:p>
            <w:pPr>
              <w:widowControl/>
              <w:autoSpaceDE/>
              <w:autoSpaceDN/>
              <w:adjustRightInd/>
              <w:rPr>
                <w:rFonts w:ascii="楷体_GB2312" w:eastAsia="楷体_GB2312"/>
                <w:color w:val="000000"/>
                <w:kern w:val="0"/>
                <w:sz w:val="20"/>
                <w:szCs w:val="20"/>
              </w:rPr>
            </w:pPr>
            <w:r>
              <w:rPr>
                <w:rFonts w:hint="eastAsia" w:ascii="楷体_GB2312" w:eastAsia="楷体_GB2312"/>
                <w:color w:val="000000"/>
                <w:kern w:val="0"/>
                <w:sz w:val="20"/>
                <w:szCs w:val="20"/>
              </w:rPr>
              <w:t>2.表中“其他”指收到的罚息、复利等。</w:t>
            </w:r>
          </w:p>
          <w:p>
            <w:pPr>
              <w:widowControl/>
              <w:autoSpaceDE/>
              <w:autoSpaceDN/>
              <w:adjustRightInd/>
              <w:rPr>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524" w:type="dxa"/>
            <w:vAlign w:val="center"/>
          </w:tcPr>
          <w:p>
            <w:pPr>
              <w:widowControl/>
              <w:autoSpaceDE/>
              <w:autoSpaceDN/>
              <w:adjustRightInd/>
              <w:jc w:val="center"/>
              <w:rPr>
                <w:color w:val="000000"/>
                <w:kern w:val="0"/>
                <w:sz w:val="24"/>
                <w:szCs w:val="24"/>
              </w:rPr>
            </w:pPr>
          </w:p>
        </w:tc>
        <w:tc>
          <w:tcPr>
            <w:tcW w:w="13815" w:type="dxa"/>
            <w:gridSpan w:val="12"/>
            <w:vAlign w:val="center"/>
          </w:tcPr>
          <w:p>
            <w:pPr>
              <w:widowControl/>
              <w:autoSpaceDE/>
              <w:autoSpaceDN/>
              <w:adjustRightInd/>
              <w:rPr>
                <w:color w:val="000000"/>
                <w:kern w:val="0"/>
                <w:sz w:val="20"/>
                <w:szCs w:val="20"/>
              </w:rPr>
            </w:pPr>
            <w:r>
              <w:rPr>
                <w:color w:val="000000"/>
                <w:kern w:val="0"/>
                <w:sz w:val="20"/>
                <w:szCs w:val="20"/>
              </w:rPr>
              <w:t>贷款服务机构公章或业务管理部门章</w:t>
            </w:r>
          </w:p>
        </w:tc>
      </w:tr>
    </w:tbl>
    <w:p>
      <w:pPr>
        <w:spacing w:line="40" w:lineRule="exact"/>
        <w:rPr>
          <w:rFonts w:eastAsia="楷体_GB2312"/>
          <w:sz w:val="24"/>
        </w:rPr>
      </w:pPr>
    </w:p>
    <w:p>
      <w:pPr>
        <w:spacing w:line="40" w:lineRule="exact"/>
        <w:rPr>
          <w:rFonts w:eastAsia="楷体_GB2312"/>
          <w:sz w:val="24"/>
        </w:rPr>
      </w:pPr>
    </w:p>
    <w:p>
      <w:pPr>
        <w:spacing w:line="40" w:lineRule="exact"/>
        <w:rPr>
          <w:rFonts w:eastAsia="楷体_GB2312"/>
          <w:sz w:val="24"/>
        </w:rPr>
        <w:sectPr>
          <w:pgSz w:w="16838" w:h="11906" w:orient="landscape"/>
          <w:pgMar w:top="1797" w:right="1440" w:bottom="1797" w:left="1440" w:header="851" w:footer="992" w:gutter="0"/>
          <w:cols w:space="720" w:num="1"/>
          <w:docGrid w:type="lines" w:linePitch="312" w:charSpace="0"/>
        </w:sectPr>
      </w:pPr>
    </w:p>
    <w:p>
      <w:pPr>
        <w:spacing w:line="40" w:lineRule="exact"/>
        <w:rPr>
          <w:rFonts w:eastAsia="楷体_GB2312"/>
          <w:b/>
          <w:sz w:val="24"/>
          <w:u w:val="single"/>
        </w:rPr>
      </w:pPr>
    </w:p>
    <w:tbl>
      <w:tblPr>
        <w:tblStyle w:val="17"/>
        <w:tblW w:w="83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3"/>
        <w:gridCol w:w="1133"/>
        <w:gridCol w:w="1135"/>
        <w:gridCol w:w="1133"/>
        <w:gridCol w:w="1137"/>
        <w:gridCol w:w="1135"/>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369" w:type="dxa"/>
            <w:gridSpan w:val="7"/>
            <w:vAlign w:val="center"/>
          </w:tcPr>
          <w:p>
            <w:pPr>
              <w:pStyle w:val="59"/>
              <w:ind w:firstLine="0" w:firstLineChars="0"/>
              <w:rPr>
                <w:rFonts w:eastAsia="楷体_GB2312"/>
                <w:b/>
              </w:rPr>
            </w:pPr>
            <w:r>
              <w:rPr>
                <w:rFonts w:eastAsia="楷体_GB2312"/>
                <w:b/>
              </w:rPr>
              <w:t>9-2. 扣款信息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shd w:val="clear" w:color="auto" w:fill="D9D9D9"/>
            <w:vAlign w:val="center"/>
          </w:tcPr>
          <w:p>
            <w:pPr>
              <w:snapToGrid w:val="0"/>
              <w:spacing w:line="380" w:lineRule="exact"/>
              <w:jc w:val="center"/>
              <w:rPr>
                <w:rFonts w:eastAsia="楷体_GB2312"/>
                <w:highlight w:val="lightGray"/>
              </w:rPr>
            </w:pPr>
            <w:r>
              <w:rPr>
                <w:rFonts w:eastAsia="楷体_GB2312"/>
                <w:highlight w:val="lightGray"/>
              </w:rPr>
              <w:t>科目</w:t>
            </w:r>
          </w:p>
        </w:tc>
        <w:tc>
          <w:tcPr>
            <w:tcW w:w="3401" w:type="dxa"/>
            <w:gridSpan w:val="3"/>
            <w:shd w:val="clear" w:color="auto" w:fill="D9D9D9"/>
            <w:vAlign w:val="center"/>
          </w:tcPr>
          <w:p>
            <w:pPr>
              <w:snapToGrid w:val="0"/>
              <w:spacing w:line="380" w:lineRule="exact"/>
              <w:jc w:val="center"/>
              <w:rPr>
                <w:rFonts w:eastAsia="楷体_GB2312"/>
              </w:rPr>
            </w:pPr>
            <w:r>
              <w:rPr>
                <w:rFonts w:eastAsia="楷体_GB2312"/>
              </w:rPr>
              <w:t>上次报告期</w:t>
            </w:r>
          </w:p>
        </w:tc>
        <w:tc>
          <w:tcPr>
            <w:tcW w:w="3405" w:type="dxa"/>
            <w:gridSpan w:val="3"/>
            <w:shd w:val="clear" w:color="auto" w:fill="D9D9D9"/>
            <w:vAlign w:val="center"/>
          </w:tcPr>
          <w:p>
            <w:pPr>
              <w:snapToGrid w:val="0"/>
              <w:spacing w:line="380" w:lineRule="exact"/>
              <w:jc w:val="center"/>
              <w:rPr>
                <w:rFonts w:eastAsia="楷体_GB2312"/>
              </w:rPr>
            </w:pPr>
            <w:r>
              <w:rPr>
                <w:rFonts w:eastAsia="楷体_GB2312"/>
              </w:rPr>
              <w:t>本次报告期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snapToGrid w:val="0"/>
              <w:spacing w:line="380" w:lineRule="exact"/>
              <w:jc w:val="center"/>
              <w:rPr>
                <w:rFonts w:eastAsia="楷体_GB2312"/>
              </w:rPr>
            </w:pPr>
            <w:r>
              <w:rPr>
                <w:rFonts w:hint="eastAsia" w:eastAsia="楷体_GB2312"/>
              </w:rPr>
              <w:t>`</w:t>
            </w:r>
          </w:p>
        </w:tc>
        <w:tc>
          <w:tcPr>
            <w:tcW w:w="1133" w:type="dxa"/>
            <w:vAlign w:val="center"/>
          </w:tcPr>
          <w:p>
            <w:pPr>
              <w:jc w:val="center"/>
              <w:rPr>
                <w:rFonts w:eastAsia="楷体_GB2312"/>
              </w:rPr>
            </w:pPr>
            <w:r>
              <w:rPr>
                <w:rFonts w:eastAsia="楷体_GB2312"/>
              </w:rPr>
              <w:t>本金回收款扣减</w:t>
            </w:r>
          </w:p>
        </w:tc>
        <w:tc>
          <w:tcPr>
            <w:tcW w:w="1135" w:type="dxa"/>
            <w:vAlign w:val="center"/>
          </w:tcPr>
          <w:p>
            <w:pPr>
              <w:jc w:val="center"/>
              <w:rPr>
                <w:rFonts w:eastAsia="楷体_GB2312"/>
              </w:rPr>
            </w:pPr>
            <w:r>
              <w:rPr>
                <w:rFonts w:eastAsia="楷体_GB2312"/>
              </w:rPr>
              <w:t>收入回收款扣减</w:t>
            </w:r>
          </w:p>
        </w:tc>
        <w:tc>
          <w:tcPr>
            <w:tcW w:w="1133" w:type="dxa"/>
            <w:vAlign w:val="center"/>
          </w:tcPr>
          <w:p>
            <w:pPr>
              <w:jc w:val="center"/>
              <w:rPr>
                <w:rFonts w:eastAsia="楷体_GB2312"/>
              </w:rPr>
            </w:pPr>
            <w:r>
              <w:rPr>
                <w:rFonts w:eastAsia="楷体_GB2312"/>
              </w:rPr>
              <w:t>合计</w:t>
            </w:r>
          </w:p>
        </w:tc>
        <w:tc>
          <w:tcPr>
            <w:tcW w:w="1137" w:type="dxa"/>
            <w:vAlign w:val="center"/>
          </w:tcPr>
          <w:p>
            <w:pPr>
              <w:jc w:val="center"/>
              <w:rPr>
                <w:rFonts w:eastAsia="楷体_GB2312"/>
              </w:rPr>
            </w:pPr>
            <w:r>
              <w:rPr>
                <w:rFonts w:eastAsia="楷体_GB2312"/>
              </w:rPr>
              <w:t>本金回收款扣减</w:t>
            </w:r>
          </w:p>
        </w:tc>
        <w:tc>
          <w:tcPr>
            <w:tcW w:w="1135" w:type="dxa"/>
            <w:vAlign w:val="center"/>
          </w:tcPr>
          <w:p>
            <w:pPr>
              <w:jc w:val="center"/>
              <w:rPr>
                <w:rFonts w:eastAsia="楷体_GB2312"/>
              </w:rPr>
            </w:pPr>
            <w:r>
              <w:rPr>
                <w:rFonts w:eastAsia="楷体_GB2312"/>
              </w:rPr>
              <w:t>收入回收款扣减</w:t>
            </w:r>
          </w:p>
        </w:tc>
        <w:tc>
          <w:tcPr>
            <w:tcW w:w="1133" w:type="dxa"/>
            <w:vAlign w:val="center"/>
          </w:tcPr>
          <w:p>
            <w:pPr>
              <w:jc w:val="center"/>
              <w:rPr>
                <w:rFonts w:eastAsia="楷体_GB2312"/>
              </w:rPr>
            </w:pPr>
            <w:r>
              <w:rPr>
                <w:rFonts w:eastAsia="楷体_GB2312"/>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snapToGrid w:val="0"/>
              <w:spacing w:line="380" w:lineRule="exact"/>
              <w:jc w:val="left"/>
              <w:rPr>
                <w:rFonts w:eastAsia="楷体_GB2312"/>
              </w:rPr>
            </w:pPr>
            <w:r>
              <w:rPr>
                <w:rFonts w:eastAsia="楷体_GB2312"/>
              </w:rPr>
              <w:t>执行费用扣款</w:t>
            </w:r>
          </w:p>
        </w:tc>
        <w:tc>
          <w:tcPr>
            <w:tcW w:w="1133"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c>
          <w:tcPr>
            <w:tcW w:w="1137"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snapToGrid w:val="0"/>
              <w:spacing w:line="380" w:lineRule="exact"/>
              <w:jc w:val="left"/>
              <w:rPr>
                <w:rFonts w:eastAsia="楷体_GB2312"/>
              </w:rPr>
            </w:pPr>
            <w:r>
              <w:rPr>
                <w:rFonts w:eastAsia="楷体_GB2312"/>
              </w:rPr>
              <w:t>代缴税费</w:t>
            </w:r>
          </w:p>
        </w:tc>
        <w:tc>
          <w:tcPr>
            <w:tcW w:w="1133"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c>
          <w:tcPr>
            <w:tcW w:w="1137"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snapToGrid w:val="0"/>
              <w:spacing w:line="380" w:lineRule="exact"/>
              <w:jc w:val="left"/>
              <w:rPr>
                <w:rFonts w:eastAsia="楷体_GB2312"/>
              </w:rPr>
            </w:pPr>
            <w:r>
              <w:rPr>
                <w:rFonts w:eastAsia="楷体_GB2312"/>
              </w:rPr>
              <w:t>其中：增值税</w:t>
            </w:r>
          </w:p>
        </w:tc>
        <w:tc>
          <w:tcPr>
            <w:tcW w:w="1133"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c>
          <w:tcPr>
            <w:tcW w:w="1137"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snapToGrid w:val="0"/>
              <w:spacing w:line="380" w:lineRule="exact"/>
              <w:ind w:firstLine="630" w:firstLineChars="300"/>
              <w:jc w:val="left"/>
              <w:rPr>
                <w:rFonts w:eastAsia="楷体_GB2312"/>
              </w:rPr>
            </w:pPr>
            <w:r>
              <w:rPr>
                <w:rFonts w:eastAsia="楷体_GB2312"/>
              </w:rPr>
              <w:t>城建税</w:t>
            </w:r>
          </w:p>
        </w:tc>
        <w:tc>
          <w:tcPr>
            <w:tcW w:w="1133"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c>
          <w:tcPr>
            <w:tcW w:w="1137"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snapToGrid w:val="0"/>
              <w:spacing w:line="380" w:lineRule="exact"/>
              <w:ind w:firstLine="630" w:firstLineChars="300"/>
              <w:jc w:val="left"/>
              <w:rPr>
                <w:rFonts w:eastAsia="楷体_GB2312"/>
              </w:rPr>
            </w:pPr>
            <w:r>
              <w:rPr>
                <w:rFonts w:eastAsia="楷体_GB2312"/>
              </w:rPr>
              <w:t>【…】</w:t>
            </w:r>
          </w:p>
        </w:tc>
        <w:tc>
          <w:tcPr>
            <w:tcW w:w="1133"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c>
          <w:tcPr>
            <w:tcW w:w="1137"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snapToGrid w:val="0"/>
              <w:spacing w:line="380" w:lineRule="exact"/>
              <w:ind w:firstLine="630" w:firstLineChars="300"/>
              <w:jc w:val="left"/>
              <w:rPr>
                <w:rFonts w:eastAsia="楷体_GB2312"/>
              </w:rPr>
            </w:pPr>
            <w:r>
              <w:rPr>
                <w:rFonts w:eastAsia="楷体_GB2312"/>
              </w:rPr>
              <w:t>【…】</w:t>
            </w:r>
          </w:p>
        </w:tc>
        <w:tc>
          <w:tcPr>
            <w:tcW w:w="1133"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c>
          <w:tcPr>
            <w:tcW w:w="1137"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snapToGrid w:val="0"/>
              <w:spacing w:line="380" w:lineRule="exact"/>
              <w:jc w:val="left"/>
              <w:rPr>
                <w:rFonts w:eastAsia="楷体_GB2312"/>
                <w:b/>
              </w:rPr>
            </w:pPr>
            <w:r>
              <w:rPr>
                <w:rFonts w:eastAsia="楷体_GB2312"/>
                <w:b/>
              </w:rPr>
              <w:t>合计</w:t>
            </w:r>
          </w:p>
        </w:tc>
        <w:tc>
          <w:tcPr>
            <w:tcW w:w="1133"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c>
          <w:tcPr>
            <w:tcW w:w="1137" w:type="dxa"/>
            <w:vAlign w:val="center"/>
          </w:tcPr>
          <w:p>
            <w:pPr>
              <w:jc w:val="center"/>
              <w:rPr>
                <w:rFonts w:eastAsia="楷体_GB2312"/>
              </w:rPr>
            </w:pPr>
            <w:r>
              <w:rPr>
                <w:rFonts w:hint="eastAsia" w:eastAsia="楷体_GB2312"/>
              </w:rPr>
              <w:t>—</w:t>
            </w:r>
          </w:p>
        </w:tc>
        <w:tc>
          <w:tcPr>
            <w:tcW w:w="1135" w:type="dxa"/>
            <w:vAlign w:val="center"/>
          </w:tcPr>
          <w:p>
            <w:pPr>
              <w:jc w:val="center"/>
              <w:rPr>
                <w:rFonts w:eastAsia="楷体_GB2312"/>
              </w:rPr>
            </w:pPr>
            <w:r>
              <w:rPr>
                <w:rFonts w:hint="eastAsia" w:eastAsia="楷体_GB2312"/>
              </w:rPr>
              <w:t>—</w:t>
            </w:r>
          </w:p>
        </w:tc>
        <w:tc>
          <w:tcPr>
            <w:tcW w:w="1133" w:type="dxa"/>
            <w:vAlign w:val="center"/>
          </w:tcPr>
          <w:p>
            <w:pPr>
              <w:jc w:val="center"/>
              <w:rPr>
                <w:rFonts w:eastAsia="楷体_GB2312"/>
              </w:rPr>
            </w:pPr>
            <w:r>
              <w:rPr>
                <w:rFonts w:hint="eastAsia" w:eastAsia="楷体_GB231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snapToGrid w:val="0"/>
              <w:spacing w:line="380" w:lineRule="exact"/>
              <w:jc w:val="left"/>
              <w:rPr>
                <w:rFonts w:eastAsia="楷体_GB2312"/>
              </w:rPr>
            </w:pPr>
            <w:r>
              <w:rPr>
                <w:rFonts w:eastAsia="楷体_GB2312"/>
              </w:rPr>
              <w:t>说明：</w:t>
            </w:r>
          </w:p>
        </w:tc>
        <w:tc>
          <w:tcPr>
            <w:tcW w:w="6806" w:type="dxa"/>
            <w:gridSpan w:val="6"/>
            <w:vAlign w:val="center"/>
          </w:tcPr>
          <w:p>
            <w:pPr>
              <w:snapToGrid w:val="0"/>
              <w:spacing w:line="380" w:lineRule="exact"/>
              <w:jc w:val="left"/>
              <w:rPr>
                <w:rFonts w:eastAsia="楷体_GB2312"/>
              </w:rPr>
            </w:pPr>
            <w:r>
              <w:rPr>
                <w:rFonts w:eastAsia="楷体_GB2312"/>
              </w:rPr>
              <w:t>1.“执行费用扣款”指与信贷资产的诉讼或仲裁相关的费用的扣款，包括但不限于诉讼费、仲裁费、财产保全费、律师费和执行费；</w:t>
            </w:r>
          </w:p>
          <w:p>
            <w:pPr>
              <w:snapToGrid w:val="0"/>
              <w:spacing w:line="380" w:lineRule="exact"/>
              <w:jc w:val="left"/>
              <w:rPr>
                <w:rFonts w:eastAsia="楷体_GB2312"/>
              </w:rPr>
            </w:pPr>
            <w:r>
              <w:rPr>
                <w:rFonts w:eastAsia="楷体_GB2312"/>
              </w:rPr>
              <w:t>2.“代缴税费”指由贷款服务机构代信托计划缴纳的税款；</w:t>
            </w:r>
          </w:p>
          <w:p>
            <w:pPr>
              <w:snapToGrid w:val="0"/>
              <w:spacing w:line="380" w:lineRule="exact"/>
              <w:jc w:val="left"/>
              <w:rPr>
                <w:rFonts w:eastAsia="楷体_GB2312"/>
              </w:rPr>
            </w:pPr>
            <w:r>
              <w:rPr>
                <w:rFonts w:eastAsia="楷体_GB2312"/>
              </w:rPr>
              <w:t>3. “本金回收款扣减”指从收款期间收回的贷款本金额中扣除的金额，“收入回收款扣减”指从除“本金回收款”外的回收款合计金额中扣减的金额。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63" w:type="dxa"/>
            <w:vAlign w:val="center"/>
          </w:tcPr>
          <w:p>
            <w:pPr>
              <w:jc w:val="center"/>
              <w:rPr>
                <w:rFonts w:eastAsia="楷体_GB2312"/>
              </w:rPr>
            </w:pPr>
          </w:p>
        </w:tc>
        <w:tc>
          <w:tcPr>
            <w:tcW w:w="6806" w:type="dxa"/>
            <w:gridSpan w:val="6"/>
            <w:vAlign w:val="center"/>
          </w:tcPr>
          <w:p>
            <w:pPr>
              <w:jc w:val="left"/>
              <w:rPr>
                <w:rFonts w:eastAsia="楷体_GB2312"/>
              </w:rPr>
            </w:pPr>
            <w:r>
              <w:rPr>
                <w:rFonts w:eastAsia="楷体_GB2312"/>
              </w:rPr>
              <w:t>贷款服务机构公章或业务管理部门章</w:t>
            </w:r>
          </w:p>
        </w:tc>
      </w:tr>
    </w:tbl>
    <w:p/>
    <w:p/>
    <w:p/>
    <w:p/>
    <w:p>
      <w:r>
        <w:br w:type="page"/>
      </w:r>
    </w:p>
    <w:tbl>
      <w:tblPr>
        <w:tblStyle w:val="17"/>
        <w:tblW w:w="8522" w:type="dxa"/>
        <w:tblInd w:w="0" w:type="dxa"/>
        <w:tblLayout w:type="fixed"/>
        <w:tblCellMar>
          <w:top w:w="0" w:type="dxa"/>
          <w:left w:w="108" w:type="dxa"/>
          <w:bottom w:w="0" w:type="dxa"/>
          <w:right w:w="108" w:type="dxa"/>
        </w:tblCellMar>
      </w:tblPr>
      <w:tblGrid>
        <w:gridCol w:w="4361"/>
        <w:gridCol w:w="3847"/>
        <w:gridCol w:w="314"/>
      </w:tblGrid>
      <w:tr>
        <w:tblPrEx>
          <w:tblLayout w:type="fixed"/>
          <w:tblCellMar>
            <w:top w:w="0" w:type="dxa"/>
            <w:left w:w="108" w:type="dxa"/>
            <w:bottom w:w="0" w:type="dxa"/>
            <w:right w:w="108" w:type="dxa"/>
          </w:tblCellMar>
        </w:tblPrEx>
        <w:tc>
          <w:tcPr>
            <w:tcW w:w="8522" w:type="dxa"/>
            <w:gridSpan w:val="3"/>
          </w:tcPr>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rPr>
          <w:trHeight w:val="80" w:hRule="atLeast"/>
        </w:trPr>
        <w:tc>
          <w:tcPr>
            <w:tcW w:w="8522" w:type="dxa"/>
            <w:gridSpan w:val="3"/>
            <w:tcBorders>
              <w:bottom w:val="single" w:color="auto" w:sz="4" w:space="0"/>
            </w:tcBorders>
          </w:tcPr>
          <w:p>
            <w:pPr>
              <w:spacing w:line="380" w:lineRule="exact"/>
              <w:jc w:val="center"/>
              <w:rPr>
                <w:rFonts w:eastAsia="楷体_GB2312"/>
                <w:b/>
                <w:bCs/>
                <w:color w:val="000000"/>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c>
          <w:tcPr>
            <w:tcW w:w="8522" w:type="dxa"/>
            <w:gridSpan w:val="3"/>
            <w:tcBorders>
              <w:top w:val="single" w:color="auto" w:sz="4" w:space="0"/>
              <w:left w:val="single" w:color="auto" w:sz="4" w:space="0"/>
              <w:bottom w:val="single" w:color="auto" w:sz="4" w:space="0"/>
              <w:right w:val="single" w:color="auto" w:sz="4" w:space="0"/>
            </w:tcBorders>
            <w:shd w:val="clear" w:color="auto" w:fill="D9D9D9"/>
          </w:tcPr>
          <w:p>
            <w:pPr>
              <w:spacing w:line="380" w:lineRule="exact"/>
              <w:rPr>
                <w:rFonts w:eastAsia="楷体_GB2312"/>
                <w:sz w:val="24"/>
              </w:rPr>
            </w:pPr>
            <w:r>
              <w:rPr>
                <w:rFonts w:eastAsia="楷体_GB2312"/>
                <w:b/>
                <w:sz w:val="24"/>
              </w:rPr>
              <w:t>10、划款信息</w:t>
            </w:r>
          </w:p>
        </w:tc>
      </w:tr>
      <w:tr>
        <w:tblPrEx>
          <w:tblLayout w:type="fixed"/>
          <w:tblCellMar>
            <w:top w:w="0" w:type="dxa"/>
            <w:left w:w="108" w:type="dxa"/>
            <w:bottom w:w="0" w:type="dxa"/>
            <w:right w:w="108" w:type="dxa"/>
          </w:tblCellMar>
        </w:tblPrEx>
        <w:tc>
          <w:tcPr>
            <w:tcW w:w="4361" w:type="dxa"/>
            <w:tcBorders>
              <w:top w:val="single" w:color="auto" w:sz="4" w:space="0"/>
              <w:left w:val="single" w:color="auto" w:sz="4" w:space="0"/>
              <w:bottom w:val="single" w:color="auto" w:sz="4" w:space="0"/>
              <w:right w:val="single" w:color="auto" w:sz="4" w:space="0"/>
            </w:tcBorders>
            <w:shd w:val="clear" w:color="auto" w:fill="auto"/>
          </w:tcPr>
          <w:p>
            <w:pPr>
              <w:spacing w:line="380" w:lineRule="exact"/>
              <w:rPr>
                <w:rFonts w:eastAsia="楷体_GB2312"/>
                <w:sz w:val="24"/>
              </w:rPr>
            </w:pPr>
          </w:p>
        </w:tc>
        <w:tc>
          <w:tcPr>
            <w:tcW w:w="4161" w:type="dxa"/>
            <w:gridSpan w:val="2"/>
            <w:tcBorders>
              <w:top w:val="single" w:color="auto" w:sz="4" w:space="0"/>
              <w:left w:val="single" w:color="auto" w:sz="4" w:space="0"/>
              <w:bottom w:val="single" w:color="auto" w:sz="4" w:space="0"/>
              <w:right w:val="single" w:color="auto" w:sz="4" w:space="0"/>
            </w:tcBorders>
            <w:shd w:val="clear" w:color="auto" w:fill="FFFFFF"/>
          </w:tcPr>
          <w:p>
            <w:pPr>
              <w:spacing w:line="380" w:lineRule="exact"/>
              <w:rPr>
                <w:rFonts w:eastAsia="楷体_GB2312"/>
                <w:sz w:val="24"/>
              </w:rPr>
            </w:pPr>
            <w:r>
              <w:rPr>
                <w:rFonts w:eastAsia="楷体_GB2312"/>
                <w:b/>
                <w:sz w:val="24"/>
              </w:rPr>
              <w:t>本收款期间</w:t>
            </w:r>
          </w:p>
        </w:tc>
      </w:tr>
      <w:tr>
        <w:tblPrEx>
          <w:tblLayout w:type="fixed"/>
          <w:tblCellMar>
            <w:top w:w="0" w:type="dxa"/>
            <w:left w:w="108" w:type="dxa"/>
            <w:bottom w:w="0" w:type="dxa"/>
            <w:right w:w="108" w:type="dxa"/>
          </w:tblCellMar>
        </w:tblPrEx>
        <w:trPr>
          <w:trHeight w:val="485" w:hRule="atLeast"/>
        </w:trPr>
        <w:tc>
          <w:tcPr>
            <w:tcW w:w="4361"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转入信托账户的可记入收益账的回收款金额</w:t>
            </w:r>
          </w:p>
        </w:tc>
        <w:tc>
          <w:tcPr>
            <w:tcW w:w="4161"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18"/>
                <w:szCs w:val="18"/>
              </w:rPr>
            </w:pPr>
            <w:r>
              <w:rPr>
                <w:color w:val="000000"/>
                <w:kern w:val="0"/>
                <w:sz w:val="18"/>
                <w:szCs w:val="18"/>
              </w:rPr>
              <w:t>5,351,632.44</w:t>
            </w:r>
          </w:p>
        </w:tc>
      </w:tr>
      <w:tr>
        <w:tblPrEx>
          <w:tblLayout w:type="fixed"/>
          <w:tblCellMar>
            <w:top w:w="0" w:type="dxa"/>
            <w:left w:w="108" w:type="dxa"/>
            <w:bottom w:w="0" w:type="dxa"/>
            <w:right w:w="108" w:type="dxa"/>
          </w:tblCellMar>
        </w:tblPrEx>
        <w:trPr>
          <w:trHeight w:val="397" w:hRule="atLeast"/>
        </w:trPr>
        <w:tc>
          <w:tcPr>
            <w:tcW w:w="4361"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转入信托账户的可记入本金账的回收款金额</w:t>
            </w:r>
          </w:p>
        </w:tc>
        <w:tc>
          <w:tcPr>
            <w:tcW w:w="4161"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color w:val="000000"/>
                <w:kern w:val="0"/>
                <w:sz w:val="18"/>
                <w:szCs w:val="18"/>
              </w:rPr>
              <w:t>22,690,762.86</w:t>
            </w:r>
          </w:p>
        </w:tc>
      </w:tr>
      <w:tr>
        <w:tblPrEx>
          <w:tblLayout w:type="fixed"/>
          <w:tblCellMar>
            <w:top w:w="0" w:type="dxa"/>
            <w:left w:w="108" w:type="dxa"/>
            <w:bottom w:w="0" w:type="dxa"/>
            <w:right w:w="108" w:type="dxa"/>
          </w:tblCellMar>
        </w:tblPrEx>
        <w:trPr>
          <w:trHeight w:val="435" w:hRule="atLeast"/>
        </w:trPr>
        <w:tc>
          <w:tcPr>
            <w:tcW w:w="4361" w:type="dxa"/>
            <w:tcBorders>
              <w:top w:val="single" w:color="auto" w:sz="4" w:space="0"/>
              <w:left w:val="single" w:color="auto" w:sz="4" w:space="0"/>
              <w:bottom w:val="single" w:color="auto" w:sz="4" w:space="0"/>
              <w:right w:val="single" w:color="auto" w:sz="4" w:space="0"/>
            </w:tcBorders>
          </w:tcPr>
          <w:p>
            <w:pPr>
              <w:spacing w:line="380" w:lineRule="exact"/>
              <w:rPr>
                <w:rFonts w:eastAsia="楷体_GB2312"/>
              </w:rPr>
            </w:pPr>
            <w:r>
              <w:rPr>
                <w:rFonts w:eastAsia="楷体_GB2312"/>
              </w:rPr>
              <w:t>转入信托账户总金额</w:t>
            </w:r>
          </w:p>
        </w:tc>
        <w:tc>
          <w:tcPr>
            <w:tcW w:w="4161"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kern w:val="0"/>
                <w:sz w:val="18"/>
                <w:szCs w:val="18"/>
              </w:rPr>
            </w:pPr>
            <w:r>
              <w:rPr>
                <w:rFonts w:hint="eastAsia"/>
                <w:color w:val="000000"/>
                <w:kern w:val="0"/>
                <w:sz w:val="18"/>
                <w:szCs w:val="18"/>
              </w:rPr>
              <w:t>28,042,395.30</w:t>
            </w:r>
          </w:p>
        </w:tc>
      </w:tr>
      <w:tr>
        <w:tblPrEx>
          <w:tblLayout w:type="fixed"/>
          <w:tblCellMar>
            <w:top w:w="0" w:type="dxa"/>
            <w:left w:w="108" w:type="dxa"/>
            <w:bottom w:w="0" w:type="dxa"/>
            <w:right w:w="108" w:type="dxa"/>
          </w:tblCellMar>
        </w:tblPrEx>
        <w:trPr>
          <w:trHeight w:val="435" w:hRule="atLeast"/>
        </w:trPr>
        <w:tc>
          <w:tcPr>
            <w:tcW w:w="8522" w:type="dxa"/>
            <w:gridSpan w:val="3"/>
            <w:tcBorders>
              <w:top w:val="single" w:color="auto" w:sz="4" w:space="0"/>
            </w:tcBorders>
          </w:tcPr>
          <w:p>
            <w:pPr>
              <w:spacing w:line="380" w:lineRule="exact"/>
              <w:rPr>
                <w:rFonts w:eastAsia="楷体_GB2312"/>
              </w:rPr>
            </w:pPr>
            <w:r>
              <w:rPr>
                <w:rFonts w:eastAsia="楷体_GB2312"/>
              </w:rPr>
              <w:t>说明：本报告金额单位均以人民币元计</w:t>
            </w:r>
          </w:p>
        </w:tc>
      </w:tr>
      <w:tr>
        <w:tblPrEx>
          <w:tblLayout w:type="fixed"/>
          <w:tblCellMar>
            <w:top w:w="0" w:type="dxa"/>
            <w:left w:w="108" w:type="dxa"/>
            <w:bottom w:w="0" w:type="dxa"/>
            <w:right w:w="108" w:type="dxa"/>
          </w:tblCellMar>
        </w:tblPrEx>
        <w:trPr>
          <w:trHeight w:val="435" w:hRule="atLeast"/>
        </w:trPr>
        <w:tc>
          <w:tcPr>
            <w:tcW w:w="8208" w:type="dxa"/>
            <w:gridSpan w:val="2"/>
          </w:tcPr>
          <w:p>
            <w:pPr>
              <w:spacing w:line="380" w:lineRule="exact"/>
              <w:rPr>
                <w:rFonts w:eastAsia="楷体_GB2312"/>
                <w:sz w:val="24"/>
              </w:rPr>
            </w:pPr>
            <w:r>
              <w:rPr>
                <w:rFonts w:eastAsia="楷体_GB2312"/>
                <w:sz w:val="24"/>
              </w:rPr>
              <w:t>贷款服务机构公章或业务管理部门章</w:t>
            </w:r>
          </w:p>
        </w:tc>
        <w:tc>
          <w:tcPr>
            <w:tcW w:w="314" w:type="dxa"/>
          </w:tcPr>
          <w:p>
            <w:pPr>
              <w:spacing w:line="380" w:lineRule="exact"/>
              <w:rPr>
                <w:rFonts w:eastAsia="楷体_GB2312"/>
                <w:sz w:val="24"/>
              </w:rPr>
            </w:pPr>
          </w:p>
        </w:tc>
      </w:tr>
    </w:tbl>
    <w:p>
      <w:pPr>
        <w:spacing w:line="40" w:lineRule="exact"/>
        <w:rPr>
          <w:rFonts w:eastAsia="楷体_GB2312"/>
          <w:b/>
          <w:sz w:val="24"/>
          <w:u w:val="single"/>
        </w:rPr>
      </w:pPr>
      <w:r>
        <w:rPr>
          <w:rFonts w:eastAsia="楷体_GB2312"/>
          <w:sz w:val="24"/>
        </w:rPr>
        <w:br w:type="page"/>
      </w:r>
    </w:p>
    <w:tbl>
      <w:tblPr>
        <w:tblStyle w:val="17"/>
        <w:tblW w:w="8527" w:type="dxa"/>
        <w:tblInd w:w="0" w:type="dxa"/>
        <w:tblLayout w:type="fixed"/>
        <w:tblCellMar>
          <w:top w:w="0" w:type="dxa"/>
          <w:left w:w="108" w:type="dxa"/>
          <w:bottom w:w="0" w:type="dxa"/>
          <w:right w:w="108" w:type="dxa"/>
        </w:tblCellMar>
      </w:tblPr>
      <w:tblGrid>
        <w:gridCol w:w="1954"/>
        <w:gridCol w:w="1559"/>
        <w:gridCol w:w="1560"/>
        <w:gridCol w:w="1559"/>
        <w:gridCol w:w="1895"/>
      </w:tblGrid>
      <w:tr>
        <w:tblPrEx>
          <w:tblLayout w:type="fixed"/>
          <w:tblCellMar>
            <w:top w:w="0" w:type="dxa"/>
            <w:left w:w="108" w:type="dxa"/>
            <w:bottom w:w="0" w:type="dxa"/>
            <w:right w:w="108" w:type="dxa"/>
          </w:tblCellMar>
        </w:tblPrEx>
        <w:tc>
          <w:tcPr>
            <w:tcW w:w="8527" w:type="dxa"/>
            <w:gridSpan w:val="5"/>
          </w:tcPr>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rPr>
          <w:trHeight w:val="80" w:hRule="atLeast"/>
        </w:trPr>
        <w:tc>
          <w:tcPr>
            <w:tcW w:w="8527" w:type="dxa"/>
            <w:gridSpan w:val="5"/>
            <w:tcBorders>
              <w:bottom w:val="single" w:color="auto" w:sz="4" w:space="0"/>
            </w:tcBorders>
          </w:tcPr>
          <w:p>
            <w:pPr>
              <w:spacing w:line="380" w:lineRule="exact"/>
              <w:jc w:val="center"/>
              <w:rPr>
                <w:rFonts w:eastAsia="楷体_GB2312"/>
                <w:b/>
                <w:bCs/>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7" w:type="dxa"/>
            <w:gridSpan w:val="5"/>
            <w:shd w:val="clear" w:color="auto" w:fill="E5DFEC"/>
          </w:tcPr>
          <w:p>
            <w:pPr>
              <w:spacing w:line="380" w:lineRule="exact"/>
              <w:rPr>
                <w:rFonts w:eastAsia="楷体_GB2312"/>
                <w:b/>
                <w:sz w:val="24"/>
              </w:rPr>
            </w:pPr>
            <w:r>
              <w:rPr>
                <w:rFonts w:eastAsia="楷体_GB2312"/>
                <w:b/>
                <w:sz w:val="24"/>
              </w:rPr>
              <w:t>11、资产池存续期总体信息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7" w:type="dxa"/>
            <w:gridSpan w:val="5"/>
            <w:shd w:val="clear" w:color="auto" w:fill="FFFFFF"/>
          </w:tcPr>
          <w:p>
            <w:pPr>
              <w:rPr>
                <w:rFonts w:eastAsia="楷体_GB2312"/>
                <w:b/>
              </w:rPr>
            </w:pPr>
            <w:r>
              <w:rPr>
                <w:rFonts w:eastAsia="楷体_GB2312"/>
                <w:b/>
              </w:rPr>
              <w:t>资产池信息汇总一：入池资产笔数与金额特征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rPr>
                <w:rFonts w:eastAsia="楷体_GB2312"/>
              </w:rPr>
            </w:pPr>
          </w:p>
        </w:tc>
        <w:tc>
          <w:tcPr>
            <w:tcW w:w="1559" w:type="dxa"/>
          </w:tcPr>
          <w:p>
            <w:pPr>
              <w:jc w:val="left"/>
              <w:rPr>
                <w:rFonts w:eastAsia="楷体_GB2312"/>
              </w:rPr>
            </w:pPr>
            <w:r>
              <w:rPr>
                <w:rFonts w:eastAsia="楷体_GB2312"/>
              </w:rPr>
              <w:t>初始起算日</w:t>
            </w:r>
          </w:p>
        </w:tc>
        <w:tc>
          <w:tcPr>
            <w:tcW w:w="1560" w:type="dxa"/>
          </w:tcPr>
          <w:p>
            <w:pPr>
              <w:jc w:val="left"/>
              <w:rPr>
                <w:rFonts w:eastAsia="楷体_GB2312"/>
              </w:rPr>
            </w:pPr>
            <w:r>
              <w:rPr>
                <w:rFonts w:eastAsia="楷体_GB2312"/>
              </w:rPr>
              <w:t>收款期间起始日</w:t>
            </w:r>
          </w:p>
        </w:tc>
        <w:tc>
          <w:tcPr>
            <w:tcW w:w="1559" w:type="dxa"/>
          </w:tcPr>
          <w:p>
            <w:pPr>
              <w:jc w:val="left"/>
              <w:rPr>
                <w:rFonts w:eastAsia="楷体_GB2312"/>
              </w:rPr>
            </w:pPr>
            <w:r>
              <w:rPr>
                <w:rFonts w:eastAsia="楷体_GB2312"/>
              </w:rPr>
              <w:t>收款期间终止日</w:t>
            </w:r>
          </w:p>
        </w:tc>
        <w:tc>
          <w:tcPr>
            <w:tcW w:w="1895" w:type="dxa"/>
          </w:tcPr>
          <w:p>
            <w:pPr>
              <w:jc w:val="left"/>
              <w:rPr>
                <w:rFonts w:eastAsia="楷体_GB2312"/>
              </w:rPr>
            </w:pPr>
            <w:r>
              <w:rPr>
                <w:rFonts w:eastAsia="楷体_GB2312"/>
              </w:rPr>
              <w:t>下一收款期间起始日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54" w:type="dxa"/>
            <w:tcBorders>
              <w:bottom w:val="single" w:color="auto" w:sz="4" w:space="0"/>
            </w:tcBorders>
          </w:tcPr>
          <w:p>
            <w:pPr>
              <w:rPr>
                <w:rFonts w:eastAsia="楷体_GB2312"/>
              </w:rPr>
            </w:pPr>
            <w:r>
              <w:rPr>
                <w:rFonts w:eastAsia="楷体_GB2312"/>
              </w:rPr>
              <w:t>贷款总笔数</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5,000</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3,913</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3,885</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3,885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954" w:type="dxa"/>
            <w:tcBorders>
              <w:bottom w:val="single" w:color="auto" w:sz="4" w:space="0"/>
            </w:tcBorders>
          </w:tcPr>
          <w:p>
            <w:pPr>
              <w:rPr>
                <w:rFonts w:eastAsia="楷体_GB2312"/>
              </w:rPr>
            </w:pPr>
            <w:r>
              <w:rPr>
                <w:rFonts w:eastAsia="楷体_GB2312"/>
              </w:rPr>
              <w:t>借款人总户数</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4,948</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3,868</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3,840</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3,840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954" w:type="dxa"/>
            <w:tcBorders>
              <w:bottom w:val="single" w:color="auto" w:sz="4" w:space="0"/>
            </w:tcBorders>
          </w:tcPr>
          <w:p>
            <w:pPr>
              <w:rPr>
                <w:rFonts w:eastAsia="楷体_GB2312"/>
              </w:rPr>
            </w:pPr>
            <w:r>
              <w:rPr>
                <w:rFonts w:eastAsia="楷体_GB2312"/>
              </w:rPr>
              <w:t>贷款未偿本金余额</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2,201,109,004.55</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1,418,062,751.36</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1,395,371,988.50</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1,395,371,988.50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4" w:type="dxa"/>
            <w:tcBorders>
              <w:bottom w:val="single" w:color="auto" w:sz="4" w:space="0"/>
            </w:tcBorders>
          </w:tcPr>
          <w:p>
            <w:pPr>
              <w:rPr>
                <w:rFonts w:eastAsia="楷体_GB2312"/>
              </w:rPr>
            </w:pPr>
            <w:r>
              <w:rPr>
                <w:rFonts w:eastAsia="楷体_GB2312"/>
              </w:rPr>
              <w:t>单笔贷款最高本金余额</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6,191,590.88</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4,853,074.07</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4,820,392.91</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4,820,392.91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954" w:type="dxa"/>
            <w:tcBorders>
              <w:bottom w:val="single" w:color="auto" w:sz="4" w:space="0"/>
            </w:tcBorders>
          </w:tcPr>
          <w:p>
            <w:pPr>
              <w:rPr>
                <w:rFonts w:eastAsia="楷体_GB2312"/>
              </w:rPr>
            </w:pPr>
            <w:r>
              <w:rPr>
                <w:rFonts w:eastAsia="楷体_GB2312"/>
              </w:rPr>
              <w:t>单笔贷款平均本金余额</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440,221.80</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362,397.84</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359,169.11</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359,169.11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7" w:type="dxa"/>
            <w:gridSpan w:val="5"/>
            <w:shd w:val="clear" w:color="auto" w:fill="FFFFFF"/>
          </w:tcPr>
          <w:p>
            <w:pPr>
              <w:rPr>
                <w:rFonts w:eastAsia="楷体_GB2312"/>
                <w:b/>
              </w:rPr>
            </w:pPr>
            <w:r>
              <w:rPr>
                <w:rFonts w:eastAsia="楷体_GB2312"/>
                <w:b/>
              </w:rPr>
              <w:t>资产池信息汇总二：入池资产期限特征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rPr>
                <w:rFonts w:eastAsia="楷体_GB2312"/>
              </w:rPr>
            </w:pPr>
          </w:p>
        </w:tc>
        <w:tc>
          <w:tcPr>
            <w:tcW w:w="1559" w:type="dxa"/>
          </w:tcPr>
          <w:p>
            <w:pPr>
              <w:jc w:val="left"/>
              <w:rPr>
                <w:rFonts w:eastAsia="楷体_GB2312"/>
              </w:rPr>
            </w:pPr>
            <w:r>
              <w:rPr>
                <w:rFonts w:eastAsia="楷体_GB2312"/>
              </w:rPr>
              <w:t>初始起算日</w:t>
            </w:r>
          </w:p>
        </w:tc>
        <w:tc>
          <w:tcPr>
            <w:tcW w:w="1560" w:type="dxa"/>
          </w:tcPr>
          <w:p>
            <w:pPr>
              <w:jc w:val="left"/>
              <w:rPr>
                <w:rFonts w:eastAsia="楷体_GB2312"/>
              </w:rPr>
            </w:pPr>
            <w:r>
              <w:rPr>
                <w:rFonts w:eastAsia="楷体_GB2312"/>
              </w:rPr>
              <w:t>收款期间起始日</w:t>
            </w:r>
          </w:p>
        </w:tc>
        <w:tc>
          <w:tcPr>
            <w:tcW w:w="1559" w:type="dxa"/>
          </w:tcPr>
          <w:p>
            <w:pPr>
              <w:jc w:val="left"/>
              <w:rPr>
                <w:rFonts w:eastAsia="楷体_GB2312"/>
              </w:rPr>
            </w:pPr>
            <w:r>
              <w:rPr>
                <w:rFonts w:eastAsia="楷体_GB2312"/>
              </w:rPr>
              <w:t>收款期间终止日</w:t>
            </w:r>
          </w:p>
        </w:tc>
        <w:tc>
          <w:tcPr>
            <w:tcW w:w="1895" w:type="dxa"/>
          </w:tcPr>
          <w:p>
            <w:pPr>
              <w:jc w:val="left"/>
              <w:rPr>
                <w:rFonts w:eastAsia="楷体_GB2312"/>
              </w:rPr>
            </w:pPr>
            <w:r>
              <w:rPr>
                <w:rFonts w:eastAsia="楷体_GB2312"/>
              </w:rPr>
              <w:t>下一收款期间起始日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954" w:type="dxa"/>
            <w:tcBorders>
              <w:bottom w:val="single" w:color="auto" w:sz="4" w:space="0"/>
            </w:tcBorders>
          </w:tcPr>
          <w:p>
            <w:pPr>
              <w:rPr>
                <w:rFonts w:eastAsia="楷体_GB2312"/>
              </w:rPr>
            </w:pPr>
            <w:r>
              <w:rPr>
                <w:rFonts w:eastAsia="楷体_GB2312"/>
              </w:rPr>
              <w:t>加权平均住房贷款合同期限</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16.10</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16.73</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16.75</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16.75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1954" w:type="dxa"/>
            <w:tcBorders>
              <w:bottom w:val="single" w:color="auto" w:sz="4" w:space="0"/>
            </w:tcBorders>
          </w:tcPr>
          <w:p>
            <w:pPr>
              <w:rPr>
                <w:rFonts w:eastAsia="楷体_GB2312"/>
              </w:rPr>
            </w:pPr>
            <w:r>
              <w:rPr>
                <w:rFonts w:eastAsia="楷体_GB2312"/>
              </w:rPr>
              <w:t>加权平均住房贷款剩余期限</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10.88</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9.58</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9.53</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954" w:type="dxa"/>
            <w:tcBorders>
              <w:bottom w:val="single" w:color="auto" w:sz="4" w:space="0"/>
            </w:tcBorders>
          </w:tcPr>
          <w:p>
            <w:pPr>
              <w:rPr>
                <w:rFonts w:eastAsia="楷体_GB2312"/>
              </w:rPr>
            </w:pPr>
            <w:r>
              <w:rPr>
                <w:rFonts w:eastAsia="楷体_GB2312"/>
              </w:rPr>
              <w:t>加权平均账龄</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5.20</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7.13</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7.21</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954" w:type="dxa"/>
            <w:tcBorders>
              <w:bottom w:val="single" w:color="auto" w:sz="4" w:space="0"/>
            </w:tcBorders>
          </w:tcPr>
          <w:p>
            <w:pPr>
              <w:rPr>
                <w:rFonts w:eastAsia="楷体_GB2312"/>
              </w:rPr>
            </w:pPr>
            <w:r>
              <w:rPr>
                <w:rFonts w:eastAsia="楷体_GB2312"/>
              </w:rPr>
              <w:t>贷款最长到期期限</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16.04</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14.18</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14.10</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14.10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954" w:type="dxa"/>
            <w:tcBorders>
              <w:bottom w:val="single" w:color="auto" w:sz="4" w:space="0"/>
            </w:tcBorders>
          </w:tcPr>
          <w:p>
            <w:pPr>
              <w:rPr>
                <w:rFonts w:eastAsia="楷体_GB2312"/>
              </w:rPr>
            </w:pPr>
            <w:r>
              <w:rPr>
                <w:rFonts w:eastAsia="楷体_GB2312"/>
              </w:rPr>
              <w:t>贷款最短到期期限</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0.50</w:t>
            </w:r>
          </w:p>
        </w:tc>
        <w:tc>
          <w:tcPr>
            <w:tcW w:w="1560" w:type="dxa"/>
            <w:tcBorders>
              <w:bottom w:val="single" w:color="auto" w:sz="4" w:space="0"/>
            </w:tcBorders>
            <w:vAlign w:val="center"/>
          </w:tcPr>
          <w:p>
            <w:pPr>
              <w:jc w:val="center"/>
              <w:rPr>
                <w:rFonts w:eastAsia="楷体_GB2312"/>
                <w:sz w:val="18"/>
                <w:szCs w:val="18"/>
              </w:rPr>
            </w:pPr>
            <w:r>
              <w:rPr>
                <w:rFonts w:eastAsia="楷体_GB2312"/>
                <w:sz w:val="18"/>
                <w:szCs w:val="18"/>
              </w:rPr>
              <w:t>0.00</w:t>
            </w:r>
          </w:p>
        </w:tc>
        <w:tc>
          <w:tcPr>
            <w:tcW w:w="1559" w:type="dxa"/>
            <w:tcBorders>
              <w:bottom w:val="single" w:color="auto" w:sz="4" w:space="0"/>
            </w:tcBorders>
            <w:vAlign w:val="center"/>
          </w:tcPr>
          <w:p>
            <w:pPr>
              <w:jc w:val="center"/>
              <w:rPr>
                <w:rFonts w:eastAsia="楷体_GB2312"/>
                <w:sz w:val="18"/>
                <w:szCs w:val="18"/>
              </w:rPr>
            </w:pPr>
            <w:r>
              <w:rPr>
                <w:rFonts w:eastAsia="楷体_GB2312"/>
                <w:sz w:val="18"/>
                <w:szCs w:val="18"/>
              </w:rPr>
              <w:t>0.07</w:t>
            </w:r>
          </w:p>
        </w:tc>
        <w:tc>
          <w:tcPr>
            <w:tcW w:w="1895" w:type="dxa"/>
            <w:tcBorders>
              <w:bottom w:val="single" w:color="auto" w:sz="4" w:space="0"/>
            </w:tcBorders>
            <w:vAlign w:val="center"/>
          </w:tcPr>
          <w:p>
            <w:pPr>
              <w:jc w:val="center"/>
              <w:rPr>
                <w:rFonts w:eastAsia="楷体_GB2312"/>
                <w:sz w:val="18"/>
                <w:szCs w:val="18"/>
              </w:rPr>
            </w:pPr>
            <w:r>
              <w:rPr>
                <w:rFonts w:eastAsia="楷体_GB2312"/>
                <w:sz w:val="18"/>
                <w:szCs w:val="18"/>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7" w:type="dxa"/>
            <w:gridSpan w:val="5"/>
            <w:shd w:val="clear" w:color="auto" w:fill="FFFFFF"/>
          </w:tcPr>
          <w:p>
            <w:pPr>
              <w:rPr>
                <w:rFonts w:eastAsia="楷体_GB2312"/>
              </w:rPr>
            </w:pPr>
            <w:r>
              <w:rPr>
                <w:rFonts w:eastAsia="楷体_GB2312"/>
                <w:b/>
              </w:rPr>
              <w:t>资产池信息汇总三：入池资产利率特征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rPr>
                <w:rFonts w:eastAsia="楷体_GB2312"/>
              </w:rPr>
            </w:pPr>
          </w:p>
        </w:tc>
        <w:tc>
          <w:tcPr>
            <w:tcW w:w="1559" w:type="dxa"/>
          </w:tcPr>
          <w:p>
            <w:pPr>
              <w:jc w:val="left"/>
              <w:rPr>
                <w:rFonts w:eastAsia="楷体_GB2312"/>
              </w:rPr>
            </w:pPr>
            <w:r>
              <w:rPr>
                <w:rFonts w:eastAsia="楷体_GB2312"/>
              </w:rPr>
              <w:t>初始起算日</w:t>
            </w:r>
          </w:p>
        </w:tc>
        <w:tc>
          <w:tcPr>
            <w:tcW w:w="1560" w:type="dxa"/>
          </w:tcPr>
          <w:p>
            <w:pPr>
              <w:jc w:val="left"/>
              <w:rPr>
                <w:rFonts w:eastAsia="楷体_GB2312"/>
              </w:rPr>
            </w:pPr>
            <w:r>
              <w:rPr>
                <w:rFonts w:eastAsia="楷体_GB2312"/>
              </w:rPr>
              <w:t>收款期间起始日</w:t>
            </w:r>
          </w:p>
        </w:tc>
        <w:tc>
          <w:tcPr>
            <w:tcW w:w="1559" w:type="dxa"/>
          </w:tcPr>
          <w:p>
            <w:pPr>
              <w:jc w:val="left"/>
              <w:rPr>
                <w:rFonts w:eastAsia="楷体_GB2312"/>
              </w:rPr>
            </w:pPr>
            <w:r>
              <w:rPr>
                <w:rFonts w:eastAsia="楷体_GB2312"/>
              </w:rPr>
              <w:t>收款期间终止日</w:t>
            </w:r>
          </w:p>
        </w:tc>
        <w:tc>
          <w:tcPr>
            <w:tcW w:w="1895" w:type="dxa"/>
          </w:tcPr>
          <w:p>
            <w:pPr>
              <w:jc w:val="left"/>
              <w:rPr>
                <w:rFonts w:eastAsia="楷体_GB2312"/>
              </w:rPr>
            </w:pPr>
            <w:r>
              <w:rPr>
                <w:rFonts w:eastAsia="楷体_GB2312"/>
              </w:rPr>
              <w:t>下一收款期间起始日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954" w:type="dxa"/>
          </w:tcPr>
          <w:p>
            <w:pPr>
              <w:rPr>
                <w:rFonts w:eastAsia="楷体_GB2312"/>
              </w:rPr>
            </w:pPr>
            <w:r>
              <w:rPr>
                <w:rFonts w:eastAsia="楷体_GB2312"/>
              </w:rPr>
              <w:t>加权平均住房贷款利率</w:t>
            </w:r>
          </w:p>
        </w:tc>
        <w:tc>
          <w:tcPr>
            <w:tcW w:w="1559" w:type="dxa"/>
          </w:tcPr>
          <w:p>
            <w:pPr>
              <w:jc w:val="center"/>
              <w:rPr>
                <w:rFonts w:eastAsia="楷体_GB2312"/>
                <w:sz w:val="18"/>
                <w:szCs w:val="18"/>
              </w:rPr>
            </w:pPr>
            <w:r>
              <w:rPr>
                <w:rFonts w:hint="eastAsia" w:eastAsia="楷体_GB2312"/>
                <w:sz w:val="18"/>
                <w:szCs w:val="18"/>
              </w:rPr>
              <w:t>4.55%</w:t>
            </w:r>
          </w:p>
        </w:tc>
        <w:tc>
          <w:tcPr>
            <w:tcW w:w="1560" w:type="dxa"/>
          </w:tcPr>
          <w:p>
            <w:pPr>
              <w:jc w:val="center"/>
              <w:rPr>
                <w:rFonts w:eastAsia="楷体_GB2312"/>
                <w:sz w:val="18"/>
                <w:szCs w:val="18"/>
              </w:rPr>
            </w:pPr>
            <w:r>
              <w:rPr>
                <w:rFonts w:eastAsia="楷体_GB2312"/>
                <w:sz w:val="18"/>
                <w:szCs w:val="18"/>
              </w:rPr>
              <w:t>4.54%</w:t>
            </w:r>
          </w:p>
        </w:tc>
        <w:tc>
          <w:tcPr>
            <w:tcW w:w="1559" w:type="dxa"/>
          </w:tcPr>
          <w:p>
            <w:pPr>
              <w:jc w:val="center"/>
              <w:rPr>
                <w:rFonts w:eastAsia="楷体_GB2312"/>
                <w:sz w:val="18"/>
                <w:szCs w:val="18"/>
              </w:rPr>
            </w:pPr>
            <w:r>
              <w:rPr>
                <w:rFonts w:eastAsia="楷体_GB2312"/>
                <w:sz w:val="18"/>
                <w:szCs w:val="18"/>
              </w:rPr>
              <w:t>4.54%</w:t>
            </w:r>
          </w:p>
        </w:tc>
        <w:tc>
          <w:tcPr>
            <w:tcW w:w="1895" w:type="dxa"/>
          </w:tcPr>
          <w:p>
            <w:pPr>
              <w:jc w:val="center"/>
              <w:rPr>
                <w:rFonts w:eastAsia="楷体_GB2312"/>
                <w:sz w:val="18"/>
                <w:szCs w:val="18"/>
              </w:rPr>
            </w:pPr>
            <w:r>
              <w:rPr>
                <w:rFonts w:eastAsia="楷体_GB2312"/>
                <w:sz w:val="18"/>
                <w:szCs w:val="18"/>
              </w:rPr>
              <w:t>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54" w:type="dxa"/>
          </w:tcPr>
          <w:p>
            <w:pPr>
              <w:rPr>
                <w:rFonts w:eastAsia="楷体_GB2312"/>
              </w:rPr>
            </w:pPr>
            <w:r>
              <w:rPr>
                <w:rFonts w:eastAsia="楷体_GB2312"/>
              </w:rPr>
              <w:t>最高住房贷款利率</w:t>
            </w:r>
          </w:p>
        </w:tc>
        <w:tc>
          <w:tcPr>
            <w:tcW w:w="1559" w:type="dxa"/>
          </w:tcPr>
          <w:p>
            <w:pPr>
              <w:jc w:val="center"/>
              <w:rPr>
                <w:rFonts w:eastAsia="楷体_GB2312"/>
                <w:sz w:val="18"/>
                <w:szCs w:val="18"/>
              </w:rPr>
            </w:pPr>
            <w:r>
              <w:rPr>
                <w:rFonts w:hint="eastAsia" w:eastAsia="楷体_GB2312"/>
                <w:sz w:val="18"/>
                <w:szCs w:val="18"/>
              </w:rPr>
              <w:t>6.37%</w:t>
            </w:r>
          </w:p>
        </w:tc>
        <w:tc>
          <w:tcPr>
            <w:tcW w:w="1560" w:type="dxa"/>
          </w:tcPr>
          <w:p>
            <w:pPr>
              <w:jc w:val="center"/>
              <w:rPr>
                <w:rFonts w:eastAsia="楷体_GB2312"/>
                <w:sz w:val="18"/>
                <w:szCs w:val="18"/>
              </w:rPr>
            </w:pPr>
            <w:r>
              <w:rPr>
                <w:rFonts w:eastAsia="楷体_GB2312"/>
                <w:sz w:val="18"/>
                <w:szCs w:val="18"/>
              </w:rPr>
              <w:t>6.37%</w:t>
            </w:r>
          </w:p>
        </w:tc>
        <w:tc>
          <w:tcPr>
            <w:tcW w:w="1559" w:type="dxa"/>
          </w:tcPr>
          <w:p>
            <w:pPr>
              <w:jc w:val="center"/>
              <w:rPr>
                <w:rFonts w:eastAsia="楷体_GB2312"/>
                <w:sz w:val="18"/>
                <w:szCs w:val="18"/>
              </w:rPr>
            </w:pPr>
            <w:r>
              <w:rPr>
                <w:rFonts w:eastAsia="楷体_GB2312"/>
                <w:sz w:val="18"/>
                <w:szCs w:val="18"/>
              </w:rPr>
              <w:t>6.37%</w:t>
            </w:r>
          </w:p>
        </w:tc>
        <w:tc>
          <w:tcPr>
            <w:tcW w:w="1895" w:type="dxa"/>
          </w:tcPr>
          <w:p>
            <w:pPr>
              <w:jc w:val="center"/>
              <w:rPr>
                <w:rFonts w:eastAsia="楷体_GB2312"/>
                <w:sz w:val="18"/>
                <w:szCs w:val="18"/>
              </w:rPr>
            </w:pPr>
            <w:r>
              <w:rPr>
                <w:rFonts w:eastAsia="楷体_GB2312"/>
                <w:sz w:val="18"/>
                <w:szCs w:val="18"/>
              </w:rPr>
              <w:t>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954" w:type="dxa"/>
          </w:tcPr>
          <w:p>
            <w:pPr>
              <w:rPr>
                <w:rFonts w:eastAsia="楷体_GB2312"/>
              </w:rPr>
            </w:pPr>
            <w:r>
              <w:rPr>
                <w:rFonts w:eastAsia="楷体_GB2312"/>
              </w:rPr>
              <w:t>最低住房贷款利率</w:t>
            </w:r>
          </w:p>
        </w:tc>
        <w:tc>
          <w:tcPr>
            <w:tcW w:w="1559" w:type="dxa"/>
          </w:tcPr>
          <w:p>
            <w:pPr>
              <w:jc w:val="center"/>
              <w:rPr>
                <w:rFonts w:eastAsia="楷体_GB2312"/>
                <w:sz w:val="18"/>
                <w:szCs w:val="18"/>
              </w:rPr>
            </w:pPr>
            <w:r>
              <w:rPr>
                <w:rFonts w:hint="eastAsia" w:eastAsia="楷体_GB2312"/>
                <w:sz w:val="18"/>
                <w:szCs w:val="18"/>
              </w:rPr>
              <w:t>3.43%</w:t>
            </w:r>
          </w:p>
        </w:tc>
        <w:tc>
          <w:tcPr>
            <w:tcW w:w="1560" w:type="dxa"/>
          </w:tcPr>
          <w:p>
            <w:pPr>
              <w:jc w:val="center"/>
              <w:rPr>
                <w:rFonts w:eastAsia="楷体_GB2312"/>
                <w:sz w:val="18"/>
                <w:szCs w:val="18"/>
              </w:rPr>
            </w:pPr>
            <w:r>
              <w:rPr>
                <w:rFonts w:eastAsia="楷体_GB2312"/>
                <w:sz w:val="18"/>
                <w:szCs w:val="18"/>
              </w:rPr>
              <w:t>3.43%</w:t>
            </w:r>
          </w:p>
        </w:tc>
        <w:tc>
          <w:tcPr>
            <w:tcW w:w="1559" w:type="dxa"/>
          </w:tcPr>
          <w:p>
            <w:pPr>
              <w:jc w:val="center"/>
              <w:rPr>
                <w:rFonts w:eastAsia="楷体_GB2312"/>
                <w:sz w:val="18"/>
                <w:szCs w:val="18"/>
              </w:rPr>
            </w:pPr>
            <w:r>
              <w:rPr>
                <w:rFonts w:eastAsia="楷体_GB2312"/>
                <w:sz w:val="18"/>
                <w:szCs w:val="18"/>
              </w:rPr>
              <w:t>3.43%</w:t>
            </w:r>
          </w:p>
        </w:tc>
        <w:tc>
          <w:tcPr>
            <w:tcW w:w="1895" w:type="dxa"/>
          </w:tcPr>
          <w:p>
            <w:pPr>
              <w:jc w:val="center"/>
              <w:rPr>
                <w:rFonts w:eastAsia="楷体_GB2312"/>
                <w:sz w:val="18"/>
                <w:szCs w:val="18"/>
              </w:rPr>
            </w:pPr>
            <w:r>
              <w:rPr>
                <w:rFonts w:eastAsia="楷体_GB2312"/>
                <w:sz w:val="18"/>
                <w:szCs w:val="18"/>
              </w:rPr>
              <w:t>3.43%</w:t>
            </w:r>
          </w:p>
        </w:tc>
      </w:tr>
    </w:tbl>
    <w:p>
      <w:pPr>
        <w:spacing w:line="40" w:lineRule="exact"/>
        <w:rPr>
          <w:rFonts w:eastAsia="楷体_GB2312"/>
          <w:b/>
          <w:sz w:val="24"/>
          <w:u w:val="single"/>
        </w:rPr>
      </w:pPr>
    </w:p>
    <w:p>
      <w:pPr>
        <w:rPr>
          <w:rFonts w:eastAsia="楷体_GB2312"/>
        </w:rPr>
      </w:pPr>
      <w:r>
        <w:rPr>
          <w:rFonts w:eastAsia="楷体_GB2312"/>
          <w:bCs/>
          <w:sz w:val="24"/>
        </w:rPr>
        <w:tab/>
      </w:r>
      <w:r>
        <w:rPr>
          <w:rFonts w:hint="eastAsia" w:eastAsia="楷体_GB2312"/>
        </w:rPr>
        <w:t>备注：本期借款人总户数是由借款人身份证号码去重算出。</w:t>
      </w:r>
    </w:p>
    <w:p>
      <w:pPr>
        <w:rPr>
          <w:rFonts w:eastAsia="楷体_GB2312"/>
          <w:sz w:val="24"/>
        </w:rPr>
        <w:sectPr>
          <w:pgSz w:w="11906" w:h="16838"/>
          <w:pgMar w:top="1440" w:right="1797" w:bottom="1440" w:left="1797" w:header="851" w:footer="992" w:gutter="0"/>
          <w:cols w:space="720" w:num="1"/>
          <w:docGrid w:type="lines" w:linePitch="312" w:charSpace="0"/>
        </w:sectPr>
      </w:pPr>
      <w:r>
        <w:rPr>
          <w:rFonts w:hint="eastAsia" w:eastAsia="楷体_GB2312"/>
        </w:rPr>
        <w:t xml:space="preserve">         </w:t>
      </w:r>
    </w:p>
    <w:tbl>
      <w:tblPr>
        <w:tblStyle w:val="17"/>
        <w:tblW w:w="15310" w:type="dxa"/>
        <w:jc w:val="center"/>
        <w:tblInd w:w="0" w:type="dxa"/>
        <w:tblLayout w:type="fixed"/>
        <w:tblCellMar>
          <w:top w:w="0" w:type="dxa"/>
          <w:left w:w="108" w:type="dxa"/>
          <w:bottom w:w="0" w:type="dxa"/>
          <w:right w:w="108" w:type="dxa"/>
        </w:tblCellMar>
      </w:tblPr>
      <w:tblGrid>
        <w:gridCol w:w="425"/>
        <w:gridCol w:w="1844"/>
        <w:gridCol w:w="1701"/>
        <w:gridCol w:w="1559"/>
        <w:gridCol w:w="1559"/>
        <w:gridCol w:w="1418"/>
        <w:gridCol w:w="1417"/>
        <w:gridCol w:w="1134"/>
        <w:gridCol w:w="851"/>
        <w:gridCol w:w="850"/>
        <w:gridCol w:w="709"/>
        <w:gridCol w:w="851"/>
        <w:gridCol w:w="992"/>
      </w:tblGrid>
      <w:tr>
        <w:tblPrEx>
          <w:tblLayout w:type="fixed"/>
          <w:tblCellMar>
            <w:top w:w="0" w:type="dxa"/>
            <w:left w:w="108" w:type="dxa"/>
            <w:bottom w:w="0" w:type="dxa"/>
            <w:right w:w="108" w:type="dxa"/>
          </w:tblCellMar>
        </w:tblPrEx>
        <w:trPr>
          <w:trHeight w:val="709" w:hRule="atLeast"/>
          <w:jc w:val="center"/>
        </w:trPr>
        <w:tc>
          <w:tcPr>
            <w:tcW w:w="15310" w:type="dxa"/>
            <w:gridSpan w:val="13"/>
          </w:tcPr>
          <w:p>
            <w:pPr>
              <w:spacing w:line="380" w:lineRule="exact"/>
              <w:jc w:val="center"/>
              <w:rPr>
                <w:rFonts w:eastAsia="楷体_GB2312"/>
                <w:b/>
                <w:bCs/>
                <w:sz w:val="24"/>
              </w:rPr>
            </w:pPr>
            <w:r>
              <w:rPr>
                <w:rFonts w:eastAsia="楷体_GB2312"/>
                <w:b/>
                <w:bCs/>
                <w:sz w:val="24"/>
              </w:rPr>
              <w:t>龙居2017年第一期个人住房抵押贷款证券化信托贷款服务机构报告</w:t>
            </w:r>
          </w:p>
          <w:p>
            <w:pPr>
              <w:spacing w:line="380" w:lineRule="exact"/>
              <w:jc w:val="center"/>
              <w:rPr>
                <w:rFonts w:eastAsia="楷体_GB2312"/>
                <w:b/>
                <w:bCs/>
                <w:sz w:val="24"/>
              </w:rPr>
            </w:pPr>
            <w:r>
              <w:rPr>
                <w:rFonts w:eastAsia="楷体_GB2312"/>
                <w:b/>
                <w:bCs/>
                <w:sz w:val="24"/>
              </w:rPr>
              <w:t>（20</w:t>
            </w:r>
            <w:r>
              <w:rPr>
                <w:rFonts w:hint="eastAsia" w:eastAsia="楷体_GB2312"/>
                <w:b/>
                <w:bCs/>
                <w:sz w:val="24"/>
              </w:rPr>
              <w:t>18</w:t>
            </w:r>
            <w:r>
              <w:rPr>
                <w:rFonts w:eastAsia="楷体_GB2312"/>
                <w:b/>
                <w:bCs/>
                <w:sz w:val="24"/>
              </w:rPr>
              <w:t>年</w:t>
            </w:r>
            <w:r>
              <w:rPr>
                <w:rFonts w:hint="eastAsia" w:eastAsia="楷体_GB2312"/>
                <w:b/>
                <w:bCs/>
                <w:sz w:val="24"/>
              </w:rPr>
              <w:t>11</w:t>
            </w:r>
            <w:r>
              <w:rPr>
                <w:rFonts w:eastAsia="楷体_GB2312"/>
                <w:b/>
                <w:bCs/>
                <w:sz w:val="24"/>
              </w:rPr>
              <w:t>月－20</w:t>
            </w:r>
            <w:r>
              <w:rPr>
                <w:rFonts w:hint="eastAsia" w:eastAsia="楷体_GB2312"/>
                <w:b/>
                <w:bCs/>
                <w:sz w:val="24"/>
              </w:rPr>
              <w:t>18</w:t>
            </w:r>
            <w:r>
              <w:rPr>
                <w:rFonts w:eastAsia="楷体_GB2312"/>
                <w:b/>
                <w:bCs/>
                <w:sz w:val="24"/>
              </w:rPr>
              <w:t>年</w:t>
            </w:r>
            <w:r>
              <w:rPr>
                <w:rFonts w:hint="eastAsia" w:eastAsia="楷体_GB2312"/>
                <w:b/>
                <w:bCs/>
                <w:sz w:val="24"/>
              </w:rPr>
              <w:t>11</w:t>
            </w:r>
            <w:r>
              <w:rPr>
                <w:rFonts w:eastAsia="楷体_GB2312"/>
                <w:b/>
                <w:bCs/>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5310" w:type="dxa"/>
            <w:gridSpan w:val="13"/>
            <w:shd w:val="clear" w:color="auto" w:fill="E5DFEC"/>
            <w:vAlign w:val="center"/>
          </w:tcPr>
          <w:p>
            <w:pPr>
              <w:spacing w:line="380" w:lineRule="exact"/>
              <w:rPr>
                <w:rFonts w:eastAsia="楷体_GB2312"/>
                <w:b/>
                <w:bCs/>
                <w:kern w:val="0"/>
                <w:sz w:val="20"/>
              </w:rPr>
            </w:pPr>
            <w:r>
              <w:rPr>
                <w:rFonts w:eastAsia="楷体_GB2312"/>
                <w:b/>
                <w:sz w:val="24"/>
              </w:rPr>
              <w:t>12、当期损失贷款信息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jc w:val="center"/>
        </w:trPr>
        <w:tc>
          <w:tcPr>
            <w:tcW w:w="425" w:type="dxa"/>
            <w:vAlign w:val="center"/>
          </w:tcPr>
          <w:p>
            <w:pPr>
              <w:widowControl/>
              <w:spacing w:line="340" w:lineRule="exact"/>
              <w:jc w:val="center"/>
              <w:rPr>
                <w:rFonts w:eastAsia="楷体_GB2312"/>
                <w:b/>
                <w:bCs/>
                <w:kern w:val="0"/>
                <w:sz w:val="20"/>
              </w:rPr>
            </w:pPr>
            <w:r>
              <w:rPr>
                <w:rFonts w:eastAsia="楷体_GB2312"/>
                <w:b/>
                <w:bCs/>
                <w:kern w:val="0"/>
                <w:sz w:val="20"/>
              </w:rPr>
              <w:t>序号</w:t>
            </w:r>
          </w:p>
        </w:tc>
        <w:tc>
          <w:tcPr>
            <w:tcW w:w="1844" w:type="dxa"/>
            <w:vAlign w:val="center"/>
          </w:tcPr>
          <w:p>
            <w:pPr>
              <w:widowControl/>
              <w:spacing w:line="340" w:lineRule="exact"/>
              <w:jc w:val="center"/>
              <w:rPr>
                <w:rFonts w:eastAsia="楷体_GB2312"/>
                <w:b/>
                <w:bCs/>
                <w:kern w:val="0"/>
                <w:sz w:val="20"/>
              </w:rPr>
            </w:pPr>
            <w:r>
              <w:rPr>
                <w:rFonts w:eastAsia="楷体_GB2312"/>
                <w:b/>
                <w:bCs/>
                <w:kern w:val="0"/>
                <w:sz w:val="20"/>
              </w:rPr>
              <w:t>贷款账号</w:t>
            </w:r>
          </w:p>
        </w:tc>
        <w:tc>
          <w:tcPr>
            <w:tcW w:w="1701" w:type="dxa"/>
            <w:vAlign w:val="center"/>
          </w:tcPr>
          <w:p>
            <w:pPr>
              <w:widowControl/>
              <w:spacing w:line="340" w:lineRule="exact"/>
              <w:jc w:val="center"/>
              <w:rPr>
                <w:rFonts w:eastAsia="楷体_GB2312"/>
                <w:b/>
                <w:bCs/>
                <w:kern w:val="0"/>
                <w:sz w:val="20"/>
              </w:rPr>
            </w:pPr>
            <w:r>
              <w:rPr>
                <w:rFonts w:eastAsia="楷体_GB2312"/>
                <w:b/>
                <w:bCs/>
                <w:kern w:val="0"/>
                <w:sz w:val="20"/>
              </w:rPr>
              <w:t>合同贷款金额</w:t>
            </w:r>
          </w:p>
        </w:tc>
        <w:tc>
          <w:tcPr>
            <w:tcW w:w="1559" w:type="dxa"/>
            <w:vAlign w:val="center"/>
          </w:tcPr>
          <w:p>
            <w:pPr>
              <w:widowControl/>
              <w:spacing w:line="340" w:lineRule="exact"/>
              <w:jc w:val="center"/>
              <w:rPr>
                <w:rFonts w:eastAsia="楷体_GB2312"/>
                <w:b/>
                <w:bCs/>
                <w:kern w:val="0"/>
                <w:sz w:val="20"/>
              </w:rPr>
            </w:pPr>
            <w:r>
              <w:rPr>
                <w:rFonts w:eastAsia="楷体_GB2312"/>
                <w:b/>
                <w:bCs/>
                <w:kern w:val="0"/>
                <w:sz w:val="20"/>
              </w:rPr>
              <w:t>贷款发放日</w:t>
            </w:r>
          </w:p>
        </w:tc>
        <w:tc>
          <w:tcPr>
            <w:tcW w:w="1559" w:type="dxa"/>
            <w:vAlign w:val="center"/>
          </w:tcPr>
          <w:p>
            <w:pPr>
              <w:widowControl/>
              <w:spacing w:line="340" w:lineRule="exact"/>
              <w:jc w:val="center"/>
              <w:rPr>
                <w:rFonts w:eastAsia="楷体_GB2312"/>
                <w:b/>
                <w:bCs/>
                <w:kern w:val="0"/>
                <w:sz w:val="20"/>
              </w:rPr>
            </w:pPr>
            <w:r>
              <w:rPr>
                <w:rFonts w:eastAsia="楷体_GB2312"/>
                <w:b/>
                <w:bCs/>
                <w:kern w:val="0"/>
                <w:sz w:val="20"/>
              </w:rPr>
              <w:t>约定到期日</w:t>
            </w:r>
          </w:p>
        </w:tc>
        <w:tc>
          <w:tcPr>
            <w:tcW w:w="1418" w:type="dxa"/>
            <w:vAlign w:val="center"/>
          </w:tcPr>
          <w:p>
            <w:pPr>
              <w:widowControl/>
              <w:spacing w:line="340" w:lineRule="exact"/>
              <w:jc w:val="center"/>
              <w:rPr>
                <w:rFonts w:eastAsia="楷体_GB2312"/>
                <w:b/>
                <w:bCs/>
                <w:kern w:val="0"/>
                <w:sz w:val="20"/>
              </w:rPr>
            </w:pPr>
            <w:r>
              <w:rPr>
                <w:rFonts w:eastAsia="楷体_GB2312"/>
                <w:b/>
                <w:bCs/>
                <w:kern w:val="0"/>
                <w:sz w:val="20"/>
              </w:rPr>
              <w:t>违约时间</w:t>
            </w:r>
          </w:p>
        </w:tc>
        <w:tc>
          <w:tcPr>
            <w:tcW w:w="1417" w:type="dxa"/>
            <w:vAlign w:val="center"/>
          </w:tcPr>
          <w:p>
            <w:pPr>
              <w:widowControl/>
              <w:spacing w:line="340" w:lineRule="exact"/>
              <w:jc w:val="center"/>
              <w:rPr>
                <w:rFonts w:eastAsia="楷体_GB2312"/>
                <w:b/>
                <w:bCs/>
                <w:kern w:val="0"/>
                <w:sz w:val="20"/>
              </w:rPr>
            </w:pPr>
            <w:r>
              <w:rPr>
                <w:rFonts w:eastAsia="楷体_GB2312"/>
                <w:b/>
                <w:bCs/>
                <w:kern w:val="0"/>
                <w:sz w:val="20"/>
              </w:rPr>
              <w:t>处置开始时间</w:t>
            </w:r>
          </w:p>
        </w:tc>
        <w:tc>
          <w:tcPr>
            <w:tcW w:w="1134" w:type="dxa"/>
            <w:vAlign w:val="center"/>
          </w:tcPr>
          <w:p>
            <w:pPr>
              <w:widowControl/>
              <w:spacing w:line="340" w:lineRule="exact"/>
              <w:jc w:val="center"/>
              <w:rPr>
                <w:rFonts w:eastAsia="楷体_GB2312"/>
                <w:b/>
                <w:bCs/>
                <w:kern w:val="0"/>
                <w:sz w:val="20"/>
              </w:rPr>
            </w:pPr>
            <w:r>
              <w:rPr>
                <w:rFonts w:eastAsia="楷体_GB2312"/>
                <w:b/>
                <w:bCs/>
                <w:kern w:val="0"/>
                <w:sz w:val="20"/>
              </w:rPr>
              <w:t>违约时点未偿本金余额</w:t>
            </w:r>
          </w:p>
        </w:tc>
        <w:tc>
          <w:tcPr>
            <w:tcW w:w="851" w:type="dxa"/>
            <w:vAlign w:val="center"/>
          </w:tcPr>
          <w:p>
            <w:pPr>
              <w:widowControl/>
              <w:spacing w:line="340" w:lineRule="exact"/>
              <w:jc w:val="center"/>
              <w:rPr>
                <w:rFonts w:eastAsia="楷体_GB2312"/>
                <w:b/>
                <w:bCs/>
                <w:kern w:val="0"/>
                <w:sz w:val="20"/>
              </w:rPr>
            </w:pPr>
            <w:r>
              <w:rPr>
                <w:rFonts w:eastAsia="楷体_GB2312"/>
                <w:b/>
                <w:bCs/>
                <w:kern w:val="0"/>
                <w:sz w:val="20"/>
              </w:rPr>
              <w:t>处置回收本金</w:t>
            </w:r>
          </w:p>
        </w:tc>
        <w:tc>
          <w:tcPr>
            <w:tcW w:w="850" w:type="dxa"/>
            <w:vAlign w:val="center"/>
          </w:tcPr>
          <w:p>
            <w:pPr>
              <w:widowControl/>
              <w:spacing w:line="340" w:lineRule="exact"/>
              <w:jc w:val="center"/>
              <w:rPr>
                <w:rFonts w:eastAsia="楷体_GB2312"/>
                <w:b/>
                <w:bCs/>
                <w:kern w:val="0"/>
                <w:sz w:val="20"/>
              </w:rPr>
            </w:pPr>
            <w:r>
              <w:rPr>
                <w:rFonts w:eastAsia="楷体_GB2312"/>
                <w:b/>
                <w:bCs/>
                <w:kern w:val="0"/>
                <w:sz w:val="20"/>
              </w:rPr>
              <w:t>处置回收利息</w:t>
            </w:r>
          </w:p>
        </w:tc>
        <w:tc>
          <w:tcPr>
            <w:tcW w:w="709" w:type="dxa"/>
            <w:vAlign w:val="center"/>
          </w:tcPr>
          <w:p>
            <w:pPr>
              <w:widowControl/>
              <w:spacing w:line="340" w:lineRule="exact"/>
              <w:jc w:val="center"/>
              <w:rPr>
                <w:rFonts w:eastAsia="楷体_GB2312"/>
                <w:b/>
                <w:bCs/>
                <w:kern w:val="0"/>
                <w:sz w:val="20"/>
              </w:rPr>
            </w:pPr>
            <w:r>
              <w:rPr>
                <w:rFonts w:eastAsia="楷体_GB2312"/>
                <w:b/>
                <w:bCs/>
                <w:kern w:val="0"/>
                <w:sz w:val="20"/>
              </w:rPr>
              <w:t>本金损失</w:t>
            </w:r>
          </w:p>
        </w:tc>
        <w:tc>
          <w:tcPr>
            <w:tcW w:w="851" w:type="dxa"/>
            <w:vAlign w:val="center"/>
          </w:tcPr>
          <w:p>
            <w:pPr>
              <w:widowControl/>
              <w:spacing w:line="340" w:lineRule="exact"/>
              <w:jc w:val="center"/>
              <w:rPr>
                <w:rFonts w:eastAsia="楷体_GB2312"/>
                <w:b/>
                <w:bCs/>
                <w:kern w:val="0"/>
                <w:sz w:val="20"/>
              </w:rPr>
            </w:pPr>
            <w:r>
              <w:rPr>
                <w:rFonts w:eastAsia="楷体_GB2312"/>
                <w:b/>
                <w:bCs/>
                <w:kern w:val="0"/>
                <w:sz w:val="20"/>
              </w:rPr>
              <w:t>违约贷款利息损失</w:t>
            </w:r>
          </w:p>
        </w:tc>
        <w:tc>
          <w:tcPr>
            <w:tcW w:w="992" w:type="dxa"/>
            <w:vAlign w:val="center"/>
          </w:tcPr>
          <w:p>
            <w:pPr>
              <w:widowControl/>
              <w:spacing w:line="340" w:lineRule="exact"/>
              <w:jc w:val="center"/>
              <w:rPr>
                <w:rFonts w:eastAsia="楷体_GB2312"/>
                <w:b/>
                <w:bCs/>
                <w:kern w:val="0"/>
                <w:sz w:val="20"/>
              </w:rPr>
            </w:pPr>
            <w:r>
              <w:rPr>
                <w:rFonts w:eastAsia="楷体_GB2312"/>
                <w:b/>
                <w:bCs/>
                <w:kern w:val="0"/>
                <w:sz w:val="20"/>
              </w:rPr>
              <w:t>处置结束时间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3" w:hRule="atLeast"/>
          <w:jc w:val="center"/>
        </w:trPr>
        <w:tc>
          <w:tcPr>
            <w:tcW w:w="425" w:type="dxa"/>
            <w:vAlign w:val="center"/>
          </w:tcPr>
          <w:p>
            <w:pPr>
              <w:jc w:val="center"/>
              <w:rPr>
                <w:rFonts w:eastAsia="楷体_GB2312"/>
                <w:sz w:val="18"/>
                <w:szCs w:val="18"/>
              </w:rPr>
            </w:pPr>
            <w:r>
              <w:rPr>
                <w:rFonts w:hint="eastAsia" w:eastAsia="楷体_GB2312"/>
                <w:sz w:val="18"/>
                <w:szCs w:val="18"/>
              </w:rPr>
              <w:t>1</w:t>
            </w:r>
          </w:p>
        </w:tc>
        <w:tc>
          <w:tcPr>
            <w:tcW w:w="1844" w:type="dxa"/>
            <w:vAlign w:val="center"/>
          </w:tcPr>
          <w:p>
            <w:pPr>
              <w:jc w:val="center"/>
              <w:rPr>
                <w:rFonts w:eastAsia="楷体_GB2312"/>
                <w:sz w:val="18"/>
                <w:szCs w:val="18"/>
              </w:rPr>
            </w:pPr>
            <w:r>
              <w:rPr>
                <w:rFonts w:hint="eastAsia" w:eastAsia="楷体_GB2312"/>
                <w:sz w:val="18"/>
                <w:szCs w:val="18"/>
              </w:rPr>
              <w:t>—</w:t>
            </w:r>
          </w:p>
        </w:tc>
        <w:tc>
          <w:tcPr>
            <w:tcW w:w="1701" w:type="dxa"/>
            <w:vAlign w:val="center"/>
          </w:tcPr>
          <w:p>
            <w:pPr>
              <w:jc w:val="center"/>
              <w:rPr>
                <w:rFonts w:eastAsia="楷体_GB2312"/>
                <w:sz w:val="18"/>
                <w:szCs w:val="18"/>
              </w:rPr>
            </w:pPr>
            <w:r>
              <w:rPr>
                <w:rFonts w:hint="eastAsia" w:eastAsia="楷体_GB2312"/>
                <w:sz w:val="18"/>
                <w:szCs w:val="18"/>
              </w:rPr>
              <w:t>—</w:t>
            </w:r>
          </w:p>
        </w:tc>
        <w:tc>
          <w:tcPr>
            <w:tcW w:w="1559" w:type="dxa"/>
            <w:vAlign w:val="center"/>
          </w:tcPr>
          <w:p>
            <w:pPr>
              <w:jc w:val="center"/>
              <w:rPr>
                <w:rFonts w:eastAsia="楷体_GB2312"/>
                <w:sz w:val="18"/>
                <w:szCs w:val="18"/>
              </w:rPr>
            </w:pPr>
            <w:r>
              <w:rPr>
                <w:rFonts w:hint="eastAsia" w:eastAsia="楷体_GB2312"/>
                <w:sz w:val="18"/>
                <w:szCs w:val="18"/>
              </w:rPr>
              <w:t>—</w:t>
            </w:r>
          </w:p>
        </w:tc>
        <w:tc>
          <w:tcPr>
            <w:tcW w:w="1559" w:type="dxa"/>
            <w:vAlign w:val="center"/>
          </w:tcPr>
          <w:p>
            <w:pPr>
              <w:jc w:val="center"/>
              <w:rPr>
                <w:rFonts w:eastAsia="楷体_GB2312"/>
                <w:sz w:val="18"/>
                <w:szCs w:val="18"/>
              </w:rPr>
            </w:pPr>
            <w:r>
              <w:rPr>
                <w:rFonts w:hint="eastAsia" w:eastAsia="楷体_GB2312"/>
                <w:sz w:val="18"/>
                <w:szCs w:val="18"/>
              </w:rPr>
              <w:t>—</w:t>
            </w:r>
          </w:p>
        </w:tc>
        <w:tc>
          <w:tcPr>
            <w:tcW w:w="1418" w:type="dxa"/>
            <w:vAlign w:val="center"/>
          </w:tcPr>
          <w:p>
            <w:pPr>
              <w:jc w:val="center"/>
              <w:rPr>
                <w:rFonts w:eastAsia="楷体_GB2312"/>
                <w:sz w:val="18"/>
                <w:szCs w:val="18"/>
              </w:rPr>
            </w:pPr>
            <w:r>
              <w:rPr>
                <w:rFonts w:hint="eastAsia" w:eastAsia="楷体_GB2312"/>
                <w:sz w:val="18"/>
                <w:szCs w:val="18"/>
              </w:rPr>
              <w:t>—</w:t>
            </w:r>
          </w:p>
        </w:tc>
        <w:tc>
          <w:tcPr>
            <w:tcW w:w="1417" w:type="dxa"/>
            <w:vAlign w:val="center"/>
          </w:tcPr>
          <w:p>
            <w:pPr>
              <w:jc w:val="center"/>
              <w:rPr>
                <w:rFonts w:eastAsia="楷体_GB2312"/>
                <w:sz w:val="18"/>
                <w:szCs w:val="18"/>
              </w:rPr>
            </w:pPr>
            <w:r>
              <w:rPr>
                <w:rFonts w:hint="eastAsia" w:eastAsia="楷体_GB2312"/>
                <w:sz w:val="18"/>
                <w:szCs w:val="18"/>
              </w:rPr>
              <w:t>—</w:t>
            </w:r>
          </w:p>
        </w:tc>
        <w:tc>
          <w:tcPr>
            <w:tcW w:w="1134" w:type="dxa"/>
            <w:vAlign w:val="center"/>
          </w:tcPr>
          <w:p>
            <w:pPr>
              <w:jc w:val="center"/>
              <w:rPr>
                <w:rFonts w:eastAsia="楷体_GB2312"/>
                <w:sz w:val="18"/>
                <w:szCs w:val="18"/>
              </w:rPr>
            </w:pPr>
            <w:r>
              <w:rPr>
                <w:rFonts w:hint="eastAsia" w:eastAsia="楷体_GB2312"/>
                <w:sz w:val="18"/>
                <w:szCs w:val="18"/>
              </w:rPr>
              <w:t>—</w:t>
            </w:r>
          </w:p>
        </w:tc>
        <w:tc>
          <w:tcPr>
            <w:tcW w:w="851" w:type="dxa"/>
            <w:vAlign w:val="center"/>
          </w:tcPr>
          <w:p>
            <w:pPr>
              <w:jc w:val="center"/>
              <w:rPr>
                <w:rFonts w:eastAsia="楷体_GB2312"/>
                <w:sz w:val="18"/>
                <w:szCs w:val="18"/>
              </w:rPr>
            </w:pPr>
            <w:r>
              <w:rPr>
                <w:rFonts w:hint="eastAsia" w:eastAsia="楷体_GB2312"/>
                <w:sz w:val="18"/>
                <w:szCs w:val="18"/>
              </w:rPr>
              <w:t>0</w:t>
            </w:r>
          </w:p>
        </w:tc>
        <w:tc>
          <w:tcPr>
            <w:tcW w:w="850" w:type="dxa"/>
            <w:vAlign w:val="center"/>
          </w:tcPr>
          <w:p>
            <w:pPr>
              <w:jc w:val="center"/>
              <w:rPr>
                <w:rFonts w:eastAsia="楷体_GB2312"/>
                <w:sz w:val="18"/>
                <w:szCs w:val="18"/>
              </w:rPr>
            </w:pPr>
            <w:r>
              <w:rPr>
                <w:rFonts w:hint="eastAsia" w:eastAsia="楷体_GB2312"/>
                <w:sz w:val="18"/>
                <w:szCs w:val="18"/>
              </w:rPr>
              <w:t>0</w:t>
            </w:r>
          </w:p>
        </w:tc>
        <w:tc>
          <w:tcPr>
            <w:tcW w:w="709" w:type="dxa"/>
            <w:vAlign w:val="center"/>
          </w:tcPr>
          <w:p>
            <w:pPr>
              <w:jc w:val="center"/>
              <w:rPr>
                <w:rFonts w:eastAsia="楷体_GB2312"/>
                <w:sz w:val="18"/>
                <w:szCs w:val="18"/>
              </w:rPr>
            </w:pPr>
            <w:r>
              <w:rPr>
                <w:rFonts w:hint="eastAsia" w:eastAsia="楷体_GB2312"/>
                <w:sz w:val="18"/>
                <w:szCs w:val="18"/>
              </w:rPr>
              <w:t>0</w:t>
            </w:r>
          </w:p>
        </w:tc>
        <w:tc>
          <w:tcPr>
            <w:tcW w:w="851" w:type="dxa"/>
            <w:vAlign w:val="center"/>
          </w:tcPr>
          <w:p>
            <w:pPr>
              <w:jc w:val="center"/>
              <w:rPr>
                <w:rFonts w:eastAsia="楷体_GB2312"/>
                <w:sz w:val="18"/>
                <w:szCs w:val="18"/>
              </w:rPr>
            </w:pPr>
            <w:r>
              <w:rPr>
                <w:rFonts w:hint="eastAsia" w:eastAsia="楷体_GB2312"/>
                <w:sz w:val="18"/>
                <w:szCs w:val="18"/>
              </w:rPr>
              <w:t>0</w:t>
            </w:r>
          </w:p>
        </w:tc>
        <w:tc>
          <w:tcPr>
            <w:tcW w:w="992" w:type="dxa"/>
            <w:vAlign w:val="center"/>
          </w:tcPr>
          <w:p>
            <w:pPr>
              <w:jc w:val="center"/>
              <w:rPr>
                <w:rFonts w:eastAsia="楷体_GB2312"/>
                <w:sz w:val="18"/>
                <w:szCs w:val="18"/>
              </w:rPr>
            </w:pPr>
            <w:r>
              <w:rPr>
                <w:rFonts w:hint="eastAsia" w:eastAsia="楷体_GB2312"/>
                <w:sz w:val="18"/>
                <w:szCs w:val="18"/>
              </w:rPr>
              <w:t>—</w:t>
            </w:r>
          </w:p>
        </w:tc>
      </w:tr>
    </w:tbl>
    <w:p>
      <w:pPr>
        <w:spacing w:line="40" w:lineRule="exact"/>
        <w:rPr>
          <w:rFonts w:eastAsia="楷体_GB2312"/>
          <w:sz w:val="24"/>
        </w:rPr>
      </w:pPr>
    </w:p>
    <w:p>
      <w:pPr>
        <w:spacing w:line="40" w:lineRule="exact"/>
        <w:rPr>
          <w:rFonts w:eastAsia="楷体_GB2312"/>
          <w:sz w:val="24"/>
        </w:rPr>
      </w:pPr>
    </w:p>
    <w:p>
      <w:pPr>
        <w:spacing w:line="40" w:lineRule="exact"/>
        <w:rPr>
          <w:rFonts w:eastAsia="楷体_GB2312"/>
          <w:sz w:val="24"/>
        </w:rPr>
      </w:pPr>
    </w:p>
    <w:p>
      <w:pPr>
        <w:spacing w:line="40" w:lineRule="exact"/>
        <w:rPr>
          <w:rFonts w:eastAsia="楷体_GB2312"/>
          <w:sz w:val="24"/>
        </w:rPr>
      </w:pPr>
    </w:p>
    <w:p>
      <w:pPr>
        <w:spacing w:line="40" w:lineRule="exact"/>
        <w:rPr>
          <w:rFonts w:eastAsia="楷体_GB2312"/>
          <w:sz w:val="24"/>
        </w:rPr>
      </w:pPr>
    </w:p>
    <w:p>
      <w:pPr>
        <w:spacing w:line="40" w:lineRule="exact"/>
        <w:rPr>
          <w:rFonts w:eastAsia="楷体_GB2312"/>
          <w:b/>
          <w:sz w:val="24"/>
          <w:u w:val="single"/>
        </w:rPr>
      </w:pPr>
    </w:p>
    <w:p>
      <w:pPr>
        <w:spacing w:line="40" w:lineRule="exact"/>
        <w:rPr>
          <w:rFonts w:eastAsia="楷体_GB2312"/>
          <w:b/>
          <w:sz w:val="24"/>
          <w:u w:val="single"/>
        </w:rPr>
      </w:pPr>
    </w:p>
    <w:bookmarkEnd w:id="0"/>
    <w:p>
      <w:bookmarkStart w:id="1" w:name="_DV_M549"/>
      <w:bookmarkEnd w:id="1"/>
      <w:bookmarkStart w:id="2" w:name="_DV_M562"/>
      <w:bookmarkEnd w:id="2"/>
      <w:bookmarkStart w:id="3" w:name="_DV_M559"/>
      <w:bookmarkEnd w:id="3"/>
      <w:bookmarkStart w:id="4" w:name="_DV_M558"/>
      <w:bookmarkEnd w:id="4"/>
      <w:bookmarkStart w:id="5" w:name="_DV_M550"/>
      <w:bookmarkEnd w:id="5"/>
      <w:bookmarkStart w:id="6" w:name="_DV_M560"/>
      <w:bookmarkEnd w:id="6"/>
      <w:bookmarkStart w:id="7" w:name="_DV_M546"/>
      <w:bookmarkEnd w:id="7"/>
      <w:bookmarkStart w:id="8" w:name="_DV_M548"/>
      <w:bookmarkEnd w:id="8"/>
      <w:bookmarkStart w:id="9" w:name="_DV_M551"/>
      <w:bookmarkEnd w:id="9"/>
      <w:bookmarkStart w:id="10" w:name="_DV_M555"/>
      <w:bookmarkEnd w:id="10"/>
      <w:bookmarkStart w:id="11" w:name="_DV_M547"/>
      <w:bookmarkEnd w:id="11"/>
      <w:bookmarkStart w:id="12" w:name="_DV_M557"/>
      <w:bookmarkEnd w:id="12"/>
      <w:bookmarkStart w:id="13" w:name="_DV_M556"/>
      <w:bookmarkEnd w:id="13"/>
      <w:bookmarkStart w:id="14" w:name="_DV_M561"/>
      <w:bookmarkEnd w:id="14"/>
    </w:p>
    <w:p/>
    <w:p/>
    <w:p/>
    <w:p/>
    <w:p/>
    <w:p/>
    <w:p/>
    <w:tbl>
      <w:tblPr>
        <w:tblStyle w:val="17"/>
        <w:tblW w:w="14142" w:type="dxa"/>
        <w:tblInd w:w="0" w:type="dxa"/>
        <w:tblLayout w:type="fixed"/>
        <w:tblCellMar>
          <w:top w:w="0" w:type="dxa"/>
          <w:left w:w="108" w:type="dxa"/>
          <w:bottom w:w="0" w:type="dxa"/>
          <w:right w:w="108" w:type="dxa"/>
        </w:tblCellMar>
      </w:tblPr>
      <w:tblGrid>
        <w:gridCol w:w="485"/>
        <w:gridCol w:w="2033"/>
        <w:gridCol w:w="1276"/>
        <w:gridCol w:w="1843"/>
        <w:gridCol w:w="1701"/>
        <w:gridCol w:w="2268"/>
        <w:gridCol w:w="1984"/>
        <w:gridCol w:w="1418"/>
        <w:gridCol w:w="1134"/>
      </w:tblGrid>
      <w:tr>
        <w:tblPrEx>
          <w:tblLayout w:type="fixed"/>
          <w:tblCellMar>
            <w:top w:w="0" w:type="dxa"/>
            <w:left w:w="108" w:type="dxa"/>
            <w:bottom w:w="0" w:type="dxa"/>
            <w:right w:w="108" w:type="dxa"/>
          </w:tblCellMar>
        </w:tblPrEx>
        <w:trPr>
          <w:trHeight w:val="384" w:hRule="atLeast"/>
        </w:trPr>
        <w:tc>
          <w:tcPr>
            <w:tcW w:w="14142" w:type="dxa"/>
            <w:gridSpan w:val="9"/>
          </w:tcPr>
          <w:p>
            <w:pPr>
              <w:spacing w:line="380" w:lineRule="exact"/>
              <w:jc w:val="center"/>
              <w:rPr>
                <w:rFonts w:eastAsia="楷体_GB2312"/>
                <w:b/>
                <w:bCs/>
                <w:sz w:val="24"/>
              </w:rPr>
            </w:pPr>
          </w:p>
          <w:p>
            <w:pPr>
              <w:spacing w:line="380" w:lineRule="exact"/>
              <w:jc w:val="center"/>
              <w:rPr>
                <w:rFonts w:eastAsia="楷体_GB2312"/>
                <w:b/>
                <w:sz w:val="24"/>
              </w:rPr>
            </w:pPr>
            <w:r>
              <w:rPr>
                <w:rFonts w:eastAsia="楷体_GB2312"/>
                <w:b/>
                <w:bCs/>
                <w:sz w:val="24"/>
              </w:rPr>
              <w:t>龙居2017年第一期个人住房抵押贷款证券化信托</w:t>
            </w:r>
            <w:r>
              <w:rPr>
                <w:rFonts w:eastAsia="楷体_GB2312"/>
                <w:b/>
                <w:sz w:val="24"/>
              </w:rPr>
              <w:t>贷款服务机构报告</w:t>
            </w:r>
          </w:p>
        </w:tc>
      </w:tr>
      <w:tr>
        <w:tblPrEx>
          <w:tblLayout w:type="fixed"/>
          <w:tblCellMar>
            <w:top w:w="0" w:type="dxa"/>
            <w:left w:w="108" w:type="dxa"/>
            <w:bottom w:w="0" w:type="dxa"/>
            <w:right w:w="108" w:type="dxa"/>
          </w:tblCellMar>
        </w:tblPrEx>
        <w:tc>
          <w:tcPr>
            <w:tcW w:w="14142" w:type="dxa"/>
            <w:gridSpan w:val="9"/>
            <w:tcBorders>
              <w:bottom w:val="single" w:color="auto" w:sz="4" w:space="0"/>
            </w:tcBorders>
          </w:tcPr>
          <w:p>
            <w:pPr>
              <w:spacing w:line="380" w:lineRule="exact"/>
              <w:jc w:val="center"/>
              <w:rPr>
                <w:rFonts w:eastAsia="楷体_GB2312"/>
                <w:b/>
                <w:sz w:val="24"/>
              </w:rPr>
            </w:pPr>
            <w:r>
              <w:rPr>
                <w:rFonts w:eastAsia="楷体_GB2312"/>
                <w:b/>
                <w:sz w:val="24"/>
              </w:rPr>
              <w:t>（20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月－20</w:t>
            </w:r>
            <w:r>
              <w:rPr>
                <w:rFonts w:hint="eastAsia" w:eastAsia="楷体_GB2312"/>
                <w:b/>
                <w:sz w:val="24"/>
              </w:rPr>
              <w:t>18</w:t>
            </w:r>
            <w:r>
              <w:rPr>
                <w:rFonts w:eastAsia="楷体_GB2312"/>
                <w:b/>
                <w:sz w:val="24"/>
              </w:rPr>
              <w:t>年</w:t>
            </w:r>
            <w:r>
              <w:rPr>
                <w:rFonts w:hint="eastAsia" w:eastAsia="楷体_GB2312"/>
                <w:b/>
                <w:sz w:val="24"/>
              </w:rPr>
              <w:t>11</w:t>
            </w:r>
            <w:r>
              <w:rPr>
                <w:rFonts w:eastAsia="楷体_GB2312"/>
                <w:b/>
                <w:sz w:val="24"/>
              </w:rPr>
              <w:t>月）</w:t>
            </w:r>
          </w:p>
        </w:tc>
      </w:tr>
      <w:tr>
        <w:tblPrEx>
          <w:tblLayout w:type="fixed"/>
          <w:tblCellMar>
            <w:top w:w="0" w:type="dxa"/>
            <w:left w:w="108" w:type="dxa"/>
            <w:bottom w:w="0" w:type="dxa"/>
            <w:right w:w="108" w:type="dxa"/>
          </w:tblCellMar>
        </w:tblPrEx>
        <w:tc>
          <w:tcPr>
            <w:tcW w:w="14142" w:type="dxa"/>
            <w:gridSpan w:val="9"/>
            <w:tcBorders>
              <w:top w:val="single" w:color="auto" w:sz="4" w:space="0"/>
              <w:left w:val="single" w:color="auto" w:sz="4" w:space="0"/>
              <w:bottom w:val="single" w:color="auto" w:sz="4" w:space="0"/>
              <w:right w:val="single" w:color="auto" w:sz="4" w:space="0"/>
            </w:tcBorders>
            <w:shd w:val="clear" w:color="auto" w:fill="E5DFEC"/>
          </w:tcPr>
          <w:p>
            <w:pPr>
              <w:spacing w:line="380" w:lineRule="exact"/>
              <w:rPr>
                <w:rFonts w:eastAsia="楷体_GB2312"/>
                <w:sz w:val="24"/>
              </w:rPr>
            </w:pPr>
            <w:r>
              <w:rPr>
                <w:rFonts w:eastAsia="楷体_GB2312"/>
                <w:b/>
                <w:sz w:val="24"/>
              </w:rPr>
              <w:t>13、当期违约贷款处置执行费用和执行情况</w:t>
            </w:r>
          </w:p>
        </w:tc>
      </w:tr>
      <w:tr>
        <w:tblPrEx>
          <w:tblLayout w:type="fixed"/>
          <w:tblCellMar>
            <w:top w:w="0" w:type="dxa"/>
            <w:left w:w="108" w:type="dxa"/>
            <w:bottom w:w="0" w:type="dxa"/>
            <w:right w:w="108" w:type="dxa"/>
          </w:tblCellMar>
        </w:tblPrEx>
        <w:tc>
          <w:tcPr>
            <w:tcW w:w="485"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center"/>
              <w:rPr>
                <w:rFonts w:eastAsia="楷体_GB2312"/>
                <w:b/>
                <w:bCs/>
                <w:kern w:val="0"/>
                <w:sz w:val="20"/>
              </w:rPr>
            </w:pPr>
            <w:r>
              <w:rPr>
                <w:rFonts w:eastAsia="楷体_GB2312"/>
                <w:b/>
                <w:bCs/>
                <w:kern w:val="0"/>
                <w:sz w:val="20"/>
              </w:rPr>
              <w:t>序号</w:t>
            </w:r>
          </w:p>
        </w:tc>
        <w:tc>
          <w:tcPr>
            <w:tcW w:w="2033"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center"/>
              <w:rPr>
                <w:rFonts w:eastAsia="楷体_GB2312"/>
                <w:b/>
                <w:bCs/>
                <w:kern w:val="0"/>
                <w:sz w:val="20"/>
              </w:rPr>
            </w:pPr>
            <w:r>
              <w:rPr>
                <w:rFonts w:eastAsia="楷体_GB2312"/>
                <w:b/>
                <w:bCs/>
                <w:kern w:val="0"/>
                <w:sz w:val="20"/>
              </w:rPr>
              <w:t>抵押贷款合同号</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center"/>
              <w:rPr>
                <w:rFonts w:eastAsia="楷体_GB2312"/>
                <w:b/>
                <w:bCs/>
                <w:kern w:val="0"/>
                <w:sz w:val="20"/>
              </w:rPr>
            </w:pPr>
            <w:r>
              <w:rPr>
                <w:rFonts w:eastAsia="楷体_GB2312"/>
                <w:b/>
                <w:bCs/>
                <w:kern w:val="0"/>
                <w:sz w:val="20"/>
              </w:rPr>
              <w:t>违约的本金金额</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center"/>
              <w:rPr>
                <w:rFonts w:eastAsia="楷体_GB2312"/>
                <w:b/>
                <w:bCs/>
                <w:kern w:val="0"/>
                <w:sz w:val="20"/>
              </w:rPr>
            </w:pPr>
            <w:r>
              <w:rPr>
                <w:rFonts w:eastAsia="楷体_GB2312"/>
                <w:b/>
                <w:bCs/>
                <w:kern w:val="0"/>
                <w:sz w:val="20"/>
              </w:rPr>
              <w:t>抵押贷款发放日</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center"/>
              <w:rPr>
                <w:rFonts w:eastAsia="楷体_GB2312"/>
                <w:b/>
                <w:bCs/>
                <w:kern w:val="0"/>
                <w:sz w:val="20"/>
              </w:rPr>
            </w:pPr>
            <w:r>
              <w:rPr>
                <w:rFonts w:eastAsia="楷体_GB2312"/>
                <w:b/>
                <w:bCs/>
                <w:kern w:val="0"/>
                <w:sz w:val="20"/>
              </w:rPr>
              <w:t>约定的到期日</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center"/>
              <w:rPr>
                <w:rFonts w:eastAsia="楷体_GB2312"/>
                <w:b/>
                <w:bCs/>
                <w:kern w:val="0"/>
                <w:sz w:val="20"/>
              </w:rPr>
            </w:pPr>
            <w:r>
              <w:rPr>
                <w:rFonts w:eastAsia="楷体_GB2312"/>
                <w:b/>
                <w:bCs/>
                <w:kern w:val="0"/>
                <w:sz w:val="20"/>
              </w:rPr>
              <w:t>违约贷款处置时间</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center"/>
              <w:rPr>
                <w:rFonts w:eastAsia="楷体_GB2312"/>
                <w:b/>
                <w:bCs/>
                <w:kern w:val="0"/>
                <w:sz w:val="20"/>
              </w:rPr>
            </w:pPr>
            <w:r>
              <w:rPr>
                <w:rFonts w:eastAsia="楷体_GB2312"/>
                <w:b/>
                <w:bCs/>
                <w:kern w:val="0"/>
                <w:sz w:val="20"/>
              </w:rPr>
              <w:t>违约贷款处置预算</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center"/>
              <w:rPr>
                <w:rFonts w:eastAsia="楷体_GB2312"/>
                <w:b/>
                <w:bCs/>
                <w:kern w:val="0"/>
                <w:sz w:val="20"/>
              </w:rPr>
            </w:pPr>
            <w:r>
              <w:rPr>
                <w:rFonts w:eastAsia="楷体_GB2312"/>
                <w:b/>
                <w:bCs/>
                <w:kern w:val="0"/>
                <w:sz w:val="20"/>
              </w:rPr>
              <w:t>违约贷款处置已产生的执行费用</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center"/>
              <w:rPr>
                <w:rFonts w:eastAsia="楷体_GB2312"/>
                <w:b/>
                <w:bCs/>
                <w:kern w:val="0"/>
                <w:sz w:val="20"/>
              </w:rPr>
            </w:pPr>
            <w:r>
              <w:rPr>
                <w:rFonts w:eastAsia="楷体_GB2312"/>
                <w:b/>
                <w:bCs/>
                <w:kern w:val="0"/>
                <w:sz w:val="20"/>
              </w:rPr>
              <w:t>本期违约贷款回收金额</w:t>
            </w:r>
          </w:p>
        </w:tc>
      </w:tr>
      <w:tr>
        <w:tblPrEx>
          <w:tblLayout w:type="fixed"/>
          <w:tblCellMar>
            <w:top w:w="0" w:type="dxa"/>
            <w:left w:w="108" w:type="dxa"/>
            <w:bottom w:w="0" w:type="dxa"/>
            <w:right w:w="108" w:type="dxa"/>
          </w:tblCellMar>
        </w:tblPrEx>
        <w:trPr>
          <w:trHeight w:val="1553" w:hRule="atLeast"/>
        </w:trPr>
        <w:tc>
          <w:tcPr>
            <w:tcW w:w="485" w:type="dxa"/>
            <w:tcBorders>
              <w:top w:val="single" w:color="auto" w:sz="4" w:space="0"/>
              <w:left w:val="single" w:color="auto" w:sz="4" w:space="0"/>
              <w:bottom w:val="single" w:color="auto" w:sz="4" w:space="0"/>
              <w:right w:val="single" w:color="auto" w:sz="4" w:space="0"/>
            </w:tcBorders>
            <w:vAlign w:val="center"/>
          </w:tcPr>
          <w:p>
            <w:pPr>
              <w:rPr>
                <w:rFonts w:eastAsia="楷体_GB2312"/>
                <w:sz w:val="18"/>
                <w:szCs w:val="18"/>
              </w:rPr>
            </w:pPr>
            <w:r>
              <w:rPr>
                <w:rFonts w:eastAsia="楷体_GB2312"/>
                <w:sz w:val="18"/>
                <w:szCs w:val="18"/>
              </w:rPr>
              <w:t>1</w:t>
            </w:r>
          </w:p>
        </w:tc>
        <w:tc>
          <w:tcPr>
            <w:tcW w:w="203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eastAsia="楷体_GB2312"/>
                <w:sz w:val="18"/>
                <w:szCs w:val="18"/>
              </w:rPr>
              <w:t>CQ28P1011110008</w:t>
            </w: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eastAsia="楷体_GB2312"/>
                <w:sz w:val="18"/>
                <w:szCs w:val="18"/>
              </w:rPr>
              <w:t>405,072.41</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eastAsia="楷体_GB2312"/>
                <w:sz w:val="18"/>
                <w:szCs w:val="18"/>
              </w:rPr>
              <w:t>2012年01月13日</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eastAsia="楷体_GB2312"/>
                <w:sz w:val="18"/>
                <w:szCs w:val="18"/>
              </w:rPr>
              <w:t>2032年01月13日</w:t>
            </w: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eastAsia="楷体_GB2312"/>
                <w:sz w:val="18"/>
                <w:szCs w:val="18"/>
              </w:rPr>
              <w:t>2018年5月20日</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eastAsia="楷体_GB2312"/>
                <w:sz w:val="18"/>
                <w:szCs w:val="18"/>
              </w:rPr>
              <w:t>21,000.00</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eastAsia="楷体_GB2312"/>
                <w:sz w:val="18"/>
                <w:szCs w:val="18"/>
              </w:rPr>
              <w:t>0</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eastAsia="楷体_GB2312"/>
                <w:sz w:val="18"/>
                <w:szCs w:val="18"/>
              </w:rPr>
              <w:t>0</w:t>
            </w:r>
          </w:p>
        </w:tc>
      </w:tr>
      <w:tr>
        <w:tblPrEx>
          <w:tblLayout w:type="fixed"/>
          <w:tblCellMar>
            <w:top w:w="0" w:type="dxa"/>
            <w:left w:w="108" w:type="dxa"/>
            <w:bottom w:w="0" w:type="dxa"/>
            <w:right w:w="108" w:type="dxa"/>
          </w:tblCellMar>
        </w:tblPrEx>
        <w:trPr>
          <w:trHeight w:val="1553" w:hRule="atLeast"/>
        </w:trPr>
        <w:tc>
          <w:tcPr>
            <w:tcW w:w="485" w:type="dxa"/>
            <w:tcBorders>
              <w:top w:val="single" w:color="auto" w:sz="4" w:space="0"/>
              <w:left w:val="single" w:color="auto" w:sz="4" w:space="0"/>
              <w:bottom w:val="single" w:color="auto" w:sz="4" w:space="0"/>
              <w:right w:val="single" w:color="auto" w:sz="4" w:space="0"/>
            </w:tcBorders>
            <w:vAlign w:val="center"/>
          </w:tcPr>
          <w:p>
            <w:pPr>
              <w:rPr>
                <w:rFonts w:eastAsia="楷体_GB2312"/>
                <w:sz w:val="18"/>
                <w:szCs w:val="18"/>
              </w:rPr>
            </w:pPr>
            <w:r>
              <w:rPr>
                <w:rFonts w:hint="eastAsia" w:eastAsia="楷体_GB2312"/>
                <w:sz w:val="18"/>
                <w:szCs w:val="18"/>
              </w:rPr>
              <w:t>2</w:t>
            </w:r>
          </w:p>
        </w:tc>
        <w:tc>
          <w:tcPr>
            <w:tcW w:w="203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eastAsia="楷体_GB2312"/>
                <w:sz w:val="18"/>
                <w:szCs w:val="18"/>
              </w:rPr>
              <w:t>WH03P10120140266</w:t>
            </w: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266,000.00</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2014年10月31日</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2024年10月31日</w:t>
            </w: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2018年10月20日</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21,140.00</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0</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266,000.00</w:t>
            </w:r>
          </w:p>
        </w:tc>
      </w:tr>
      <w:tr>
        <w:tblPrEx>
          <w:tblLayout w:type="fixed"/>
          <w:tblCellMar>
            <w:top w:w="0" w:type="dxa"/>
            <w:left w:w="108" w:type="dxa"/>
            <w:bottom w:w="0" w:type="dxa"/>
            <w:right w:w="108" w:type="dxa"/>
          </w:tblCellMar>
        </w:tblPrEx>
        <w:trPr>
          <w:trHeight w:val="1553" w:hRule="atLeast"/>
        </w:trPr>
        <w:tc>
          <w:tcPr>
            <w:tcW w:w="485" w:type="dxa"/>
            <w:tcBorders>
              <w:top w:val="single" w:color="auto" w:sz="4" w:space="0"/>
              <w:left w:val="single" w:color="auto" w:sz="4" w:space="0"/>
              <w:bottom w:val="single" w:color="auto" w:sz="4" w:space="0"/>
              <w:right w:val="single" w:color="auto" w:sz="4" w:space="0"/>
            </w:tcBorders>
            <w:vAlign w:val="center"/>
          </w:tcPr>
          <w:p>
            <w:pPr>
              <w:rPr>
                <w:rFonts w:eastAsia="楷体_GB2312"/>
                <w:sz w:val="18"/>
                <w:szCs w:val="18"/>
              </w:rPr>
            </w:pPr>
            <w:r>
              <w:rPr>
                <w:rFonts w:hint="eastAsia" w:eastAsia="楷体_GB2312"/>
                <w:sz w:val="18"/>
                <w:szCs w:val="18"/>
              </w:rPr>
              <w:t>3</w:t>
            </w:r>
          </w:p>
        </w:tc>
        <w:tc>
          <w:tcPr>
            <w:tcW w:w="203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YYB25P1013110132</w:t>
            </w: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919,503.47</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2011年6月21日</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2031年6月21日</w:t>
            </w: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2018年11月20日</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64,600.00</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0</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18"/>
                <w:szCs w:val="18"/>
              </w:rPr>
            </w:pPr>
            <w:r>
              <w:rPr>
                <w:rFonts w:hint="eastAsia" w:eastAsia="楷体_GB2312"/>
                <w:sz w:val="18"/>
                <w:szCs w:val="18"/>
              </w:rPr>
              <w:t>0</w:t>
            </w:r>
          </w:p>
        </w:tc>
      </w:tr>
      <w:tr>
        <w:tblPrEx>
          <w:tblLayout w:type="fixed"/>
          <w:tblCellMar>
            <w:top w:w="0" w:type="dxa"/>
            <w:left w:w="108" w:type="dxa"/>
            <w:bottom w:w="0" w:type="dxa"/>
            <w:right w:w="108" w:type="dxa"/>
          </w:tblCellMar>
        </w:tblPrEx>
        <w:tc>
          <w:tcPr>
            <w:tcW w:w="14142" w:type="dxa"/>
            <w:gridSpan w:val="9"/>
            <w:tcBorders>
              <w:top w:val="single" w:color="auto" w:sz="4" w:space="0"/>
            </w:tcBorders>
          </w:tcPr>
          <w:p>
            <w:pPr>
              <w:spacing w:line="380" w:lineRule="exact"/>
              <w:rPr>
                <w:rFonts w:eastAsia="楷体_GB2312"/>
                <w:sz w:val="24"/>
              </w:rPr>
            </w:pPr>
            <w:r>
              <w:rPr>
                <w:rFonts w:eastAsia="楷体_GB2312"/>
                <w:sz w:val="24"/>
              </w:rPr>
              <w:t>说明：金额单位均以人民币元计</w:t>
            </w:r>
          </w:p>
        </w:tc>
      </w:tr>
      <w:tr>
        <w:tblPrEx>
          <w:tblLayout w:type="fixed"/>
          <w:tblCellMar>
            <w:top w:w="0" w:type="dxa"/>
            <w:left w:w="108" w:type="dxa"/>
            <w:bottom w:w="0" w:type="dxa"/>
            <w:right w:w="108" w:type="dxa"/>
          </w:tblCellMar>
        </w:tblPrEx>
        <w:tc>
          <w:tcPr>
            <w:tcW w:w="14142" w:type="dxa"/>
            <w:gridSpan w:val="9"/>
          </w:tcPr>
          <w:p>
            <w:pPr>
              <w:spacing w:line="380" w:lineRule="exact"/>
              <w:rPr>
                <w:rFonts w:eastAsia="楷体_GB2312"/>
                <w:sz w:val="24"/>
              </w:rPr>
            </w:pPr>
            <w:r>
              <w:rPr>
                <w:rFonts w:eastAsia="楷体_GB2312"/>
                <w:sz w:val="24"/>
              </w:rPr>
              <w:t>贷款服务机构公章或业务管理部门章</w:t>
            </w:r>
          </w:p>
        </w:tc>
      </w:tr>
    </w:tbl>
    <w:p/>
    <w:sectPr>
      <w:pgSz w:w="16838" w:h="11906" w:orient="landscape"/>
      <w:pgMar w:top="1797" w:right="1440" w:bottom="1797" w:left="1440"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fldChar w:fldCharType="begin"/>
    </w:r>
    <w:r>
      <w:rPr>
        <w:rStyle w:val="19"/>
      </w:rPr>
      <w:instrText xml:space="preserve">PAGE  </w:instrText>
    </w:r>
    <w:r>
      <w:fldChar w:fldCharType="separate"/>
    </w:r>
    <w:r>
      <w:rPr>
        <w:rStyle w:val="19"/>
      </w:rPr>
      <w:t>18</w:t>
    </w:r>
    <w:r>
      <w:fldChar w:fldCharType="end"/>
    </w:r>
  </w:p>
  <w:p>
    <w:pPr>
      <w:jc w:val="left"/>
      <w:rPr>
        <w:kern w:val="0"/>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kern w:val="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FD"/>
    <w:rsid w:val="00001438"/>
    <w:rsid w:val="0001506E"/>
    <w:rsid w:val="00017221"/>
    <w:rsid w:val="00026E28"/>
    <w:rsid w:val="00033FFA"/>
    <w:rsid w:val="000342AA"/>
    <w:rsid w:val="000419B2"/>
    <w:rsid w:val="00043D99"/>
    <w:rsid w:val="0004673E"/>
    <w:rsid w:val="00051F40"/>
    <w:rsid w:val="0005763B"/>
    <w:rsid w:val="00061733"/>
    <w:rsid w:val="0006639C"/>
    <w:rsid w:val="00067D77"/>
    <w:rsid w:val="00087EB1"/>
    <w:rsid w:val="00091959"/>
    <w:rsid w:val="000A0648"/>
    <w:rsid w:val="000A5AD0"/>
    <w:rsid w:val="000D261F"/>
    <w:rsid w:val="000F3BF7"/>
    <w:rsid w:val="000F5B71"/>
    <w:rsid w:val="00102755"/>
    <w:rsid w:val="00111B71"/>
    <w:rsid w:val="001142BC"/>
    <w:rsid w:val="001161DE"/>
    <w:rsid w:val="00120FE3"/>
    <w:rsid w:val="00125E66"/>
    <w:rsid w:val="001319D7"/>
    <w:rsid w:val="00133966"/>
    <w:rsid w:val="00144564"/>
    <w:rsid w:val="0015179A"/>
    <w:rsid w:val="0015444D"/>
    <w:rsid w:val="00154FDC"/>
    <w:rsid w:val="001659D9"/>
    <w:rsid w:val="00166FC4"/>
    <w:rsid w:val="00173253"/>
    <w:rsid w:val="00177B35"/>
    <w:rsid w:val="00194930"/>
    <w:rsid w:val="00195276"/>
    <w:rsid w:val="00196E0E"/>
    <w:rsid w:val="001C0DBD"/>
    <w:rsid w:val="001D6808"/>
    <w:rsid w:val="001E014C"/>
    <w:rsid w:val="001E611D"/>
    <w:rsid w:val="001E6C98"/>
    <w:rsid w:val="001F5AA6"/>
    <w:rsid w:val="001F680C"/>
    <w:rsid w:val="0020759E"/>
    <w:rsid w:val="00210184"/>
    <w:rsid w:val="002168A6"/>
    <w:rsid w:val="00217D04"/>
    <w:rsid w:val="0022041D"/>
    <w:rsid w:val="00237008"/>
    <w:rsid w:val="00240B57"/>
    <w:rsid w:val="00241088"/>
    <w:rsid w:val="00255DDA"/>
    <w:rsid w:val="002726DC"/>
    <w:rsid w:val="00277BC5"/>
    <w:rsid w:val="0028236B"/>
    <w:rsid w:val="00283AD2"/>
    <w:rsid w:val="002908AE"/>
    <w:rsid w:val="00291D54"/>
    <w:rsid w:val="002A489B"/>
    <w:rsid w:val="002A4C28"/>
    <w:rsid w:val="002B699F"/>
    <w:rsid w:val="002E50B7"/>
    <w:rsid w:val="002F47F3"/>
    <w:rsid w:val="002F76A3"/>
    <w:rsid w:val="00342F04"/>
    <w:rsid w:val="00346873"/>
    <w:rsid w:val="00354E1B"/>
    <w:rsid w:val="00373026"/>
    <w:rsid w:val="003751BD"/>
    <w:rsid w:val="00390AB8"/>
    <w:rsid w:val="0039181E"/>
    <w:rsid w:val="003A1745"/>
    <w:rsid w:val="003A3FFE"/>
    <w:rsid w:val="003A46C3"/>
    <w:rsid w:val="003B6AB8"/>
    <w:rsid w:val="003C1525"/>
    <w:rsid w:val="003D0EA0"/>
    <w:rsid w:val="003D12EC"/>
    <w:rsid w:val="003D4D4C"/>
    <w:rsid w:val="003E00AD"/>
    <w:rsid w:val="003F32EA"/>
    <w:rsid w:val="003F609F"/>
    <w:rsid w:val="004334EE"/>
    <w:rsid w:val="00433B6C"/>
    <w:rsid w:val="00433E20"/>
    <w:rsid w:val="00447A7D"/>
    <w:rsid w:val="004534F6"/>
    <w:rsid w:val="00457199"/>
    <w:rsid w:val="004633D9"/>
    <w:rsid w:val="00464C52"/>
    <w:rsid w:val="00474F0B"/>
    <w:rsid w:val="00477F93"/>
    <w:rsid w:val="00481687"/>
    <w:rsid w:val="00484F59"/>
    <w:rsid w:val="00486EA5"/>
    <w:rsid w:val="00490331"/>
    <w:rsid w:val="004945CD"/>
    <w:rsid w:val="004A134E"/>
    <w:rsid w:val="004A5231"/>
    <w:rsid w:val="004A7186"/>
    <w:rsid w:val="004B5DFD"/>
    <w:rsid w:val="004B5ED2"/>
    <w:rsid w:val="004C2EBE"/>
    <w:rsid w:val="004C7697"/>
    <w:rsid w:val="004D2726"/>
    <w:rsid w:val="004E07AC"/>
    <w:rsid w:val="004F39A6"/>
    <w:rsid w:val="005034B7"/>
    <w:rsid w:val="00504DA1"/>
    <w:rsid w:val="00557259"/>
    <w:rsid w:val="00562087"/>
    <w:rsid w:val="005A5454"/>
    <w:rsid w:val="005A7FFB"/>
    <w:rsid w:val="005B4741"/>
    <w:rsid w:val="005B7475"/>
    <w:rsid w:val="005C4226"/>
    <w:rsid w:val="005D7FB6"/>
    <w:rsid w:val="005E06AD"/>
    <w:rsid w:val="005E2714"/>
    <w:rsid w:val="005E31A1"/>
    <w:rsid w:val="005E4284"/>
    <w:rsid w:val="005E5957"/>
    <w:rsid w:val="005F0042"/>
    <w:rsid w:val="005F22F7"/>
    <w:rsid w:val="005F3615"/>
    <w:rsid w:val="005F60CC"/>
    <w:rsid w:val="00605EF0"/>
    <w:rsid w:val="00611A5B"/>
    <w:rsid w:val="006142B4"/>
    <w:rsid w:val="00616649"/>
    <w:rsid w:val="006344FA"/>
    <w:rsid w:val="00641E41"/>
    <w:rsid w:val="006431A5"/>
    <w:rsid w:val="00661BE3"/>
    <w:rsid w:val="00666165"/>
    <w:rsid w:val="0066643F"/>
    <w:rsid w:val="00672E32"/>
    <w:rsid w:val="00680FFC"/>
    <w:rsid w:val="006818F6"/>
    <w:rsid w:val="00690E72"/>
    <w:rsid w:val="0069193A"/>
    <w:rsid w:val="006937C4"/>
    <w:rsid w:val="00695EE6"/>
    <w:rsid w:val="00697214"/>
    <w:rsid w:val="006A17C7"/>
    <w:rsid w:val="006B0F99"/>
    <w:rsid w:val="006B4085"/>
    <w:rsid w:val="006B5E7C"/>
    <w:rsid w:val="006B7162"/>
    <w:rsid w:val="006C2CE6"/>
    <w:rsid w:val="006D1729"/>
    <w:rsid w:val="006D1801"/>
    <w:rsid w:val="006E61ED"/>
    <w:rsid w:val="006F2A24"/>
    <w:rsid w:val="006F7CAC"/>
    <w:rsid w:val="00705A91"/>
    <w:rsid w:val="007146CA"/>
    <w:rsid w:val="00715692"/>
    <w:rsid w:val="00715D00"/>
    <w:rsid w:val="007233FA"/>
    <w:rsid w:val="007322C9"/>
    <w:rsid w:val="00735ADA"/>
    <w:rsid w:val="00742859"/>
    <w:rsid w:val="00744929"/>
    <w:rsid w:val="00757F72"/>
    <w:rsid w:val="00763B20"/>
    <w:rsid w:val="00764D90"/>
    <w:rsid w:val="00783CFF"/>
    <w:rsid w:val="00784367"/>
    <w:rsid w:val="007928E4"/>
    <w:rsid w:val="00795B3D"/>
    <w:rsid w:val="007A09AF"/>
    <w:rsid w:val="007A30EF"/>
    <w:rsid w:val="007B7D75"/>
    <w:rsid w:val="007C3115"/>
    <w:rsid w:val="007C4802"/>
    <w:rsid w:val="007C6079"/>
    <w:rsid w:val="007D31AE"/>
    <w:rsid w:val="007D37D9"/>
    <w:rsid w:val="007E1F2C"/>
    <w:rsid w:val="007E2B51"/>
    <w:rsid w:val="00800209"/>
    <w:rsid w:val="00801AED"/>
    <w:rsid w:val="00805717"/>
    <w:rsid w:val="00807FD1"/>
    <w:rsid w:val="00813CED"/>
    <w:rsid w:val="008206E7"/>
    <w:rsid w:val="00826EA1"/>
    <w:rsid w:val="00840636"/>
    <w:rsid w:val="00841BEC"/>
    <w:rsid w:val="00844C17"/>
    <w:rsid w:val="00846659"/>
    <w:rsid w:val="0085006A"/>
    <w:rsid w:val="008554CE"/>
    <w:rsid w:val="00871B79"/>
    <w:rsid w:val="008732DA"/>
    <w:rsid w:val="008930B1"/>
    <w:rsid w:val="008975C3"/>
    <w:rsid w:val="008A045E"/>
    <w:rsid w:val="008A2B08"/>
    <w:rsid w:val="008A35D1"/>
    <w:rsid w:val="008B60B9"/>
    <w:rsid w:val="008C29DD"/>
    <w:rsid w:val="008C7E44"/>
    <w:rsid w:val="008F38A8"/>
    <w:rsid w:val="008F47FB"/>
    <w:rsid w:val="008F7779"/>
    <w:rsid w:val="00900F07"/>
    <w:rsid w:val="009064C4"/>
    <w:rsid w:val="00906779"/>
    <w:rsid w:val="00911E45"/>
    <w:rsid w:val="00914552"/>
    <w:rsid w:val="009157CA"/>
    <w:rsid w:val="00916B50"/>
    <w:rsid w:val="00920F67"/>
    <w:rsid w:val="00923F75"/>
    <w:rsid w:val="0092588E"/>
    <w:rsid w:val="00926D60"/>
    <w:rsid w:val="00930A7B"/>
    <w:rsid w:val="009350F8"/>
    <w:rsid w:val="00936343"/>
    <w:rsid w:val="00943D47"/>
    <w:rsid w:val="00954783"/>
    <w:rsid w:val="00963B37"/>
    <w:rsid w:val="00977434"/>
    <w:rsid w:val="00982578"/>
    <w:rsid w:val="00982EC3"/>
    <w:rsid w:val="00983EF0"/>
    <w:rsid w:val="0098435B"/>
    <w:rsid w:val="0099029B"/>
    <w:rsid w:val="00994B2E"/>
    <w:rsid w:val="009A207F"/>
    <w:rsid w:val="009A488A"/>
    <w:rsid w:val="009C59E7"/>
    <w:rsid w:val="009D2759"/>
    <w:rsid w:val="009E5012"/>
    <w:rsid w:val="009F32AC"/>
    <w:rsid w:val="009F3302"/>
    <w:rsid w:val="00A12ADD"/>
    <w:rsid w:val="00A415A2"/>
    <w:rsid w:val="00A43CF7"/>
    <w:rsid w:val="00A463AA"/>
    <w:rsid w:val="00A610F4"/>
    <w:rsid w:val="00A70A17"/>
    <w:rsid w:val="00A8502F"/>
    <w:rsid w:val="00A93E61"/>
    <w:rsid w:val="00A94E60"/>
    <w:rsid w:val="00AA4909"/>
    <w:rsid w:val="00AB4578"/>
    <w:rsid w:val="00AC4DEE"/>
    <w:rsid w:val="00AE3612"/>
    <w:rsid w:val="00AE4D36"/>
    <w:rsid w:val="00AF192F"/>
    <w:rsid w:val="00B02774"/>
    <w:rsid w:val="00B02B39"/>
    <w:rsid w:val="00B07C1F"/>
    <w:rsid w:val="00B33BD2"/>
    <w:rsid w:val="00B34697"/>
    <w:rsid w:val="00B37FEF"/>
    <w:rsid w:val="00B46A45"/>
    <w:rsid w:val="00B51647"/>
    <w:rsid w:val="00B677B0"/>
    <w:rsid w:val="00B85B02"/>
    <w:rsid w:val="00B958CE"/>
    <w:rsid w:val="00BA3B6C"/>
    <w:rsid w:val="00BB1DAF"/>
    <w:rsid w:val="00BB3862"/>
    <w:rsid w:val="00BB4157"/>
    <w:rsid w:val="00BC2270"/>
    <w:rsid w:val="00BC473B"/>
    <w:rsid w:val="00BD0E70"/>
    <w:rsid w:val="00BD3C4E"/>
    <w:rsid w:val="00BD71EB"/>
    <w:rsid w:val="00BD79D9"/>
    <w:rsid w:val="00BE6DED"/>
    <w:rsid w:val="00C00066"/>
    <w:rsid w:val="00C01151"/>
    <w:rsid w:val="00C034E4"/>
    <w:rsid w:val="00C121B6"/>
    <w:rsid w:val="00C17CB4"/>
    <w:rsid w:val="00C23239"/>
    <w:rsid w:val="00C2329E"/>
    <w:rsid w:val="00C249F9"/>
    <w:rsid w:val="00C367A2"/>
    <w:rsid w:val="00C412CD"/>
    <w:rsid w:val="00C45806"/>
    <w:rsid w:val="00C51EEE"/>
    <w:rsid w:val="00C56479"/>
    <w:rsid w:val="00C729A6"/>
    <w:rsid w:val="00C75F46"/>
    <w:rsid w:val="00C821D4"/>
    <w:rsid w:val="00C82831"/>
    <w:rsid w:val="00C91056"/>
    <w:rsid w:val="00C920CC"/>
    <w:rsid w:val="00CB52E4"/>
    <w:rsid w:val="00CC2D41"/>
    <w:rsid w:val="00CC45E9"/>
    <w:rsid w:val="00CC4896"/>
    <w:rsid w:val="00CC6347"/>
    <w:rsid w:val="00CD0F04"/>
    <w:rsid w:val="00CD4F24"/>
    <w:rsid w:val="00CE198D"/>
    <w:rsid w:val="00CE796F"/>
    <w:rsid w:val="00CF07AB"/>
    <w:rsid w:val="00CF746B"/>
    <w:rsid w:val="00D05A5D"/>
    <w:rsid w:val="00D14618"/>
    <w:rsid w:val="00D2038E"/>
    <w:rsid w:val="00D210FB"/>
    <w:rsid w:val="00D2126A"/>
    <w:rsid w:val="00D2455B"/>
    <w:rsid w:val="00D32251"/>
    <w:rsid w:val="00D33010"/>
    <w:rsid w:val="00D42326"/>
    <w:rsid w:val="00D44EF4"/>
    <w:rsid w:val="00D5745A"/>
    <w:rsid w:val="00D57D20"/>
    <w:rsid w:val="00D831DF"/>
    <w:rsid w:val="00D83D19"/>
    <w:rsid w:val="00D851F9"/>
    <w:rsid w:val="00D87AC8"/>
    <w:rsid w:val="00D96FC0"/>
    <w:rsid w:val="00DB1BE4"/>
    <w:rsid w:val="00DC2C28"/>
    <w:rsid w:val="00DD5761"/>
    <w:rsid w:val="00DE60E2"/>
    <w:rsid w:val="00DF1668"/>
    <w:rsid w:val="00DF5F17"/>
    <w:rsid w:val="00E00AAD"/>
    <w:rsid w:val="00E0564B"/>
    <w:rsid w:val="00E1123B"/>
    <w:rsid w:val="00E153F6"/>
    <w:rsid w:val="00E15F8C"/>
    <w:rsid w:val="00E21E97"/>
    <w:rsid w:val="00E22126"/>
    <w:rsid w:val="00E369BA"/>
    <w:rsid w:val="00E41A3A"/>
    <w:rsid w:val="00E4792A"/>
    <w:rsid w:val="00E5220C"/>
    <w:rsid w:val="00E630EC"/>
    <w:rsid w:val="00E66E93"/>
    <w:rsid w:val="00E72598"/>
    <w:rsid w:val="00E80732"/>
    <w:rsid w:val="00E82AE8"/>
    <w:rsid w:val="00E91B08"/>
    <w:rsid w:val="00EA0C2D"/>
    <w:rsid w:val="00EA1444"/>
    <w:rsid w:val="00EA366B"/>
    <w:rsid w:val="00EA36CC"/>
    <w:rsid w:val="00EA661D"/>
    <w:rsid w:val="00EB40CE"/>
    <w:rsid w:val="00EB50F7"/>
    <w:rsid w:val="00EB51C0"/>
    <w:rsid w:val="00EC2220"/>
    <w:rsid w:val="00EC4263"/>
    <w:rsid w:val="00ED3961"/>
    <w:rsid w:val="00ED6430"/>
    <w:rsid w:val="00EF5F33"/>
    <w:rsid w:val="00EF5FC0"/>
    <w:rsid w:val="00F03497"/>
    <w:rsid w:val="00F106DD"/>
    <w:rsid w:val="00F149D1"/>
    <w:rsid w:val="00F15D88"/>
    <w:rsid w:val="00F305E2"/>
    <w:rsid w:val="00F32F66"/>
    <w:rsid w:val="00F351DC"/>
    <w:rsid w:val="00F3745A"/>
    <w:rsid w:val="00F41B8E"/>
    <w:rsid w:val="00F44A6D"/>
    <w:rsid w:val="00F509DC"/>
    <w:rsid w:val="00F523E4"/>
    <w:rsid w:val="00F527FA"/>
    <w:rsid w:val="00F54177"/>
    <w:rsid w:val="00F61123"/>
    <w:rsid w:val="00F63A8D"/>
    <w:rsid w:val="00F63AEF"/>
    <w:rsid w:val="00F66F37"/>
    <w:rsid w:val="00F715F0"/>
    <w:rsid w:val="00FA70A5"/>
    <w:rsid w:val="00FC1EEC"/>
    <w:rsid w:val="00FD318F"/>
    <w:rsid w:val="00FD59F8"/>
    <w:rsid w:val="00FD7AB2"/>
    <w:rsid w:val="00FE00A1"/>
    <w:rsid w:val="068176BD"/>
    <w:rsid w:val="07304E1C"/>
    <w:rsid w:val="1BF171C0"/>
    <w:rsid w:val="256571E6"/>
    <w:rsid w:val="2E3A17DB"/>
    <w:rsid w:val="3564349D"/>
    <w:rsid w:val="48FB2E39"/>
    <w:rsid w:val="4D5756EE"/>
    <w:rsid w:val="4E6F3FAF"/>
    <w:rsid w:val="637C6742"/>
    <w:rsid w:val="66607834"/>
    <w:rsid w:val="76B6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99" w:name="Normal Indent"/>
    <w:lsdException w:qFormat="1" w:unhideWhenUsed="0" w:uiPriority="0" w:name="footnote text"/>
    <w:lsdException w:unhideWhenUsed="0" w:uiPriority="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qFormat="1"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37"/>
    <w:qFormat/>
    <w:uiPriority w:val="0"/>
    <w:pPr>
      <w:keepNext/>
      <w:keepLines/>
      <w:spacing w:before="340" w:after="330" w:line="578" w:lineRule="auto"/>
      <w:outlineLvl w:val="0"/>
    </w:pPr>
    <w:rPr>
      <w:rFonts w:eastAsia="楷体_GB2312"/>
      <w:b/>
      <w:bCs/>
      <w:color w:val="000000"/>
      <w:kern w:val="44"/>
      <w:sz w:val="44"/>
      <w:szCs w:val="44"/>
      <w:lang w:val="zh-CN" w:eastAsia="zh-CN"/>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38"/>
    <w:semiHidden/>
    <w:uiPriority w:val="0"/>
    <w:pPr>
      <w:widowControl/>
      <w:shd w:val="clear" w:color="auto" w:fill="000080"/>
      <w:jc w:val="left"/>
    </w:pPr>
    <w:rPr>
      <w:rFonts w:ascii="Tahoma" w:hAnsi="Tahoma"/>
      <w:kern w:val="0"/>
      <w:sz w:val="24"/>
      <w:szCs w:val="24"/>
      <w:lang w:val="zh-CN" w:eastAsia="zh-CN"/>
    </w:rPr>
  </w:style>
  <w:style w:type="paragraph" w:styleId="4">
    <w:name w:val="annotation text"/>
    <w:basedOn w:val="1"/>
    <w:link w:val="29"/>
    <w:semiHidden/>
    <w:uiPriority w:val="0"/>
    <w:pPr>
      <w:jc w:val="left"/>
    </w:pPr>
    <w:rPr>
      <w:kern w:val="0"/>
      <w:sz w:val="20"/>
      <w:lang w:val="zh-CN" w:eastAsia="zh-CN"/>
    </w:rPr>
  </w:style>
  <w:style w:type="paragraph" w:styleId="5">
    <w:name w:val="Body Text"/>
    <w:basedOn w:val="1"/>
    <w:link w:val="44"/>
    <w:qFormat/>
    <w:uiPriority w:val="0"/>
    <w:pPr>
      <w:spacing w:line="360" w:lineRule="auto"/>
    </w:pPr>
    <w:rPr>
      <w:rFonts w:ascii="宋体" w:hAnsi="宋体"/>
      <w:kern w:val="0"/>
      <w:sz w:val="24"/>
      <w:szCs w:val="24"/>
      <w:lang w:val="zh-CN" w:eastAsia="zh-CN"/>
    </w:rPr>
  </w:style>
  <w:style w:type="paragraph" w:styleId="6">
    <w:name w:val="Body Text Indent"/>
    <w:basedOn w:val="1"/>
    <w:link w:val="41"/>
    <w:qFormat/>
    <w:uiPriority w:val="0"/>
    <w:pPr>
      <w:spacing w:after="120"/>
      <w:ind w:left="420"/>
    </w:pPr>
    <w:rPr>
      <w:kern w:val="0"/>
      <w:sz w:val="20"/>
      <w:lang w:val="zh-CN" w:eastAsia="zh-CN"/>
    </w:rPr>
  </w:style>
  <w:style w:type="paragraph" w:styleId="7">
    <w:name w:val="Plain Text"/>
    <w:basedOn w:val="1"/>
    <w:link w:val="43"/>
    <w:qFormat/>
    <w:uiPriority w:val="99"/>
    <w:rPr>
      <w:rFonts w:ascii="宋体" w:hAnsi="Courier New"/>
      <w:color w:val="000000"/>
      <w:kern w:val="0"/>
      <w:sz w:val="20"/>
      <w:lang w:val="zh-CN" w:eastAsia="zh-CN"/>
    </w:rPr>
  </w:style>
  <w:style w:type="paragraph" w:styleId="8">
    <w:name w:val="Body Text Indent 2"/>
    <w:basedOn w:val="1"/>
    <w:link w:val="23"/>
    <w:qFormat/>
    <w:uiPriority w:val="0"/>
    <w:pPr>
      <w:spacing w:line="400" w:lineRule="atLeast"/>
      <w:ind w:left="57" w:firstLine="420"/>
    </w:pPr>
    <w:rPr>
      <w:rFonts w:eastAsia="楷体_GB2312"/>
      <w:kern w:val="0"/>
      <w:sz w:val="24"/>
      <w:szCs w:val="24"/>
      <w:lang w:val="zh-CN" w:eastAsia="zh-CN"/>
    </w:rPr>
  </w:style>
  <w:style w:type="paragraph" w:styleId="9">
    <w:name w:val="Balloon Text"/>
    <w:basedOn w:val="1"/>
    <w:link w:val="45"/>
    <w:semiHidden/>
    <w:uiPriority w:val="0"/>
    <w:rPr>
      <w:kern w:val="0"/>
      <w:sz w:val="18"/>
      <w:szCs w:val="18"/>
      <w:lang w:val="zh-CN" w:eastAsia="zh-CN"/>
    </w:rPr>
  </w:style>
  <w:style w:type="paragraph" w:styleId="10">
    <w:name w:val="footer"/>
    <w:basedOn w:val="1"/>
    <w:link w:val="25"/>
    <w:unhideWhenUsed/>
    <w:qFormat/>
    <w:uiPriority w:val="99"/>
    <w:pPr>
      <w:tabs>
        <w:tab w:val="center" w:pos="4153"/>
        <w:tab w:val="right" w:pos="8306"/>
      </w:tabs>
      <w:snapToGrid w:val="0"/>
      <w:jc w:val="left"/>
    </w:pPr>
    <w:rPr>
      <w:rFonts w:ascii="Calibri" w:hAnsi="Calibri"/>
      <w:kern w:val="0"/>
      <w:sz w:val="18"/>
      <w:szCs w:val="18"/>
      <w:lang w:val="zh-CN" w:eastAsia="zh-CN"/>
    </w:rPr>
  </w:style>
  <w:style w:type="paragraph" w:styleId="11">
    <w:name w:val="header"/>
    <w:basedOn w:val="1"/>
    <w:link w:val="30"/>
    <w:unhideWhenUsed/>
    <w:uiPriority w:val="99"/>
    <w:pPr>
      <w:pBdr>
        <w:bottom w:val="single" w:color="auto" w:sz="6" w:space="1"/>
      </w:pBdr>
      <w:tabs>
        <w:tab w:val="center" w:pos="4153"/>
        <w:tab w:val="right" w:pos="8306"/>
      </w:tabs>
      <w:snapToGrid w:val="0"/>
      <w:jc w:val="center"/>
    </w:pPr>
    <w:rPr>
      <w:rFonts w:ascii="Calibri" w:hAnsi="Calibri"/>
      <w:kern w:val="0"/>
      <w:sz w:val="18"/>
      <w:szCs w:val="18"/>
      <w:lang w:val="zh-CN" w:eastAsia="zh-CN"/>
    </w:rPr>
  </w:style>
  <w:style w:type="paragraph" w:styleId="12">
    <w:name w:val="List"/>
    <w:basedOn w:val="1"/>
    <w:uiPriority w:val="0"/>
    <w:pPr>
      <w:widowControl/>
      <w:tabs>
        <w:tab w:val="left" w:pos="1080"/>
      </w:tabs>
      <w:autoSpaceDE/>
      <w:autoSpaceDN/>
      <w:adjustRightInd/>
      <w:spacing w:after="240"/>
      <w:ind w:left="720"/>
    </w:pPr>
    <w:rPr>
      <w:snapToGrid w:val="0"/>
      <w:kern w:val="0"/>
      <w:sz w:val="24"/>
      <w:szCs w:val="20"/>
      <w:lang w:eastAsia="en-US"/>
    </w:rPr>
  </w:style>
  <w:style w:type="paragraph" w:styleId="13">
    <w:name w:val="footnote text"/>
    <w:basedOn w:val="1"/>
    <w:link w:val="46"/>
    <w:semiHidden/>
    <w:qFormat/>
    <w:uiPriority w:val="0"/>
    <w:rPr>
      <w:kern w:val="0"/>
      <w:sz w:val="20"/>
      <w:szCs w:val="20"/>
      <w:lang w:val="zh-CN" w:eastAsia="zh-CN"/>
    </w:rPr>
  </w:style>
  <w:style w:type="paragraph" w:styleId="14">
    <w:name w:val="Body Text Indent 3"/>
    <w:basedOn w:val="1"/>
    <w:link w:val="42"/>
    <w:uiPriority w:val="0"/>
    <w:pPr>
      <w:spacing w:after="120"/>
      <w:ind w:left="420"/>
    </w:pPr>
    <w:rPr>
      <w:kern w:val="0"/>
      <w:sz w:val="16"/>
      <w:szCs w:val="16"/>
      <w:lang w:val="zh-CN" w:eastAsia="zh-CN"/>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6">
    <w:name w:val="annotation subject"/>
    <w:basedOn w:val="4"/>
    <w:next w:val="4"/>
    <w:link w:val="47"/>
    <w:semiHidden/>
    <w:qFormat/>
    <w:uiPriority w:val="0"/>
    <w:rPr>
      <w:b/>
      <w:bCs/>
    </w:rPr>
  </w:style>
  <w:style w:type="character" w:styleId="19">
    <w:name w:val="page number"/>
    <w:basedOn w:val="18"/>
    <w:qFormat/>
    <w:uiPriority w:val="0"/>
  </w:style>
  <w:style w:type="character" w:styleId="20">
    <w:name w:val="Hyperlink"/>
    <w:qFormat/>
    <w:uiPriority w:val="99"/>
    <w:rPr>
      <w:color w:val="0000FF"/>
      <w:spacing w:val="0"/>
      <w:u w:val="single"/>
    </w:rPr>
  </w:style>
  <w:style w:type="character" w:styleId="21">
    <w:name w:val="annotation reference"/>
    <w:unhideWhenUsed/>
    <w:qFormat/>
    <w:uiPriority w:val="0"/>
    <w:rPr>
      <w:sz w:val="21"/>
      <w:szCs w:val="21"/>
    </w:rPr>
  </w:style>
  <w:style w:type="character" w:styleId="22">
    <w:name w:val="footnote reference"/>
    <w:unhideWhenUsed/>
    <w:qFormat/>
    <w:uiPriority w:val="0"/>
    <w:rPr>
      <w:vertAlign w:val="superscript"/>
    </w:rPr>
  </w:style>
  <w:style w:type="character" w:customStyle="1" w:styleId="23">
    <w:name w:val="正文文本缩进 2 字符"/>
    <w:link w:val="8"/>
    <w:qFormat/>
    <w:uiPriority w:val="0"/>
    <w:rPr>
      <w:rFonts w:ascii="Times New Roman" w:hAnsi="Times New Roman" w:eastAsia="楷体_GB2312" w:cs="Times New Roman"/>
      <w:sz w:val="24"/>
      <w:szCs w:val="24"/>
    </w:rPr>
  </w:style>
  <w:style w:type="character" w:customStyle="1" w:styleId="24">
    <w:name w:val="DeltaView Move Source"/>
    <w:qFormat/>
    <w:uiPriority w:val="0"/>
    <w:rPr>
      <w:strike/>
      <w:color w:val="00C000"/>
      <w:spacing w:val="0"/>
    </w:rPr>
  </w:style>
  <w:style w:type="character" w:customStyle="1" w:styleId="25">
    <w:name w:val="页脚 字符"/>
    <w:link w:val="10"/>
    <w:semiHidden/>
    <w:qFormat/>
    <w:uiPriority w:val="99"/>
    <w:rPr>
      <w:sz w:val="18"/>
      <w:szCs w:val="18"/>
    </w:rPr>
  </w:style>
  <w:style w:type="character" w:customStyle="1" w:styleId="26">
    <w:name w:val="DeltaView Style Change Label"/>
    <w:qFormat/>
    <w:uiPriority w:val="0"/>
    <w:rPr>
      <w:color w:val="000000"/>
      <w:spacing w:val="0"/>
    </w:rPr>
  </w:style>
  <w:style w:type="character" w:customStyle="1" w:styleId="27">
    <w:name w:val="DeltaView Style Change Text"/>
    <w:qFormat/>
    <w:uiPriority w:val="0"/>
    <w:rPr>
      <w:color w:val="000000"/>
      <w:spacing w:val="0"/>
      <w:u w:val="double"/>
    </w:rPr>
  </w:style>
  <w:style w:type="character" w:customStyle="1" w:styleId="28">
    <w:name w:val="DeltaView Change Number"/>
    <w:qFormat/>
    <w:uiPriority w:val="0"/>
    <w:rPr>
      <w:color w:val="000000"/>
      <w:spacing w:val="0"/>
      <w:vertAlign w:val="superscript"/>
    </w:rPr>
  </w:style>
  <w:style w:type="character" w:customStyle="1" w:styleId="29">
    <w:name w:val="批注文字 字符"/>
    <w:link w:val="4"/>
    <w:semiHidden/>
    <w:qFormat/>
    <w:uiPriority w:val="0"/>
    <w:rPr>
      <w:rFonts w:ascii="Times New Roman" w:hAnsi="Times New Roman" w:eastAsia="宋体" w:cs="Times New Roman"/>
      <w:szCs w:val="21"/>
    </w:rPr>
  </w:style>
  <w:style w:type="character" w:customStyle="1" w:styleId="30">
    <w:name w:val="页眉 字符"/>
    <w:link w:val="11"/>
    <w:semiHidden/>
    <w:qFormat/>
    <w:uiPriority w:val="99"/>
    <w:rPr>
      <w:sz w:val="18"/>
      <w:szCs w:val="18"/>
    </w:rPr>
  </w:style>
  <w:style w:type="character" w:customStyle="1" w:styleId="31">
    <w:name w:val="DeltaView Move Destination"/>
    <w:qFormat/>
    <w:uiPriority w:val="0"/>
    <w:rPr>
      <w:color w:val="00C000"/>
      <w:spacing w:val="0"/>
      <w:u w:val="double"/>
    </w:rPr>
  </w:style>
  <w:style w:type="character" w:customStyle="1" w:styleId="32">
    <w:name w:val="DeltaView Editor Comment"/>
    <w:qFormat/>
    <w:uiPriority w:val="0"/>
    <w:rPr>
      <w:color w:val="0000FF"/>
      <w:spacing w:val="0"/>
      <w:u w:val="double"/>
    </w:rPr>
  </w:style>
  <w:style w:type="character" w:customStyle="1" w:styleId="33">
    <w:name w:val="已访问的超链接1"/>
    <w:qFormat/>
    <w:uiPriority w:val="0"/>
    <w:rPr>
      <w:color w:val="800080"/>
      <w:spacing w:val="0"/>
      <w:u w:val="single"/>
    </w:rPr>
  </w:style>
  <w:style w:type="character" w:customStyle="1" w:styleId="34">
    <w:name w:val="DeltaView Delimiter"/>
    <w:qFormat/>
    <w:uiPriority w:val="0"/>
    <w:rPr>
      <w:spacing w:val="0"/>
    </w:rPr>
  </w:style>
  <w:style w:type="character" w:customStyle="1" w:styleId="35">
    <w:name w:val="DeltaView Deletion"/>
    <w:qFormat/>
    <w:uiPriority w:val="0"/>
    <w:rPr>
      <w:strike/>
      <w:color w:val="FF0000"/>
      <w:spacing w:val="0"/>
    </w:rPr>
  </w:style>
  <w:style w:type="character" w:customStyle="1" w:styleId="36">
    <w:name w:val="DeltaView Format Change"/>
    <w:qFormat/>
    <w:uiPriority w:val="0"/>
    <w:rPr>
      <w:color w:val="000000"/>
      <w:spacing w:val="0"/>
    </w:rPr>
  </w:style>
  <w:style w:type="character" w:customStyle="1" w:styleId="37">
    <w:name w:val="标题 1 字符"/>
    <w:link w:val="2"/>
    <w:qFormat/>
    <w:uiPriority w:val="0"/>
    <w:rPr>
      <w:rFonts w:ascii="Times New Roman" w:hAnsi="Times New Roman" w:eastAsia="楷体_GB2312" w:cs="Times New Roman"/>
      <w:b/>
      <w:bCs/>
      <w:color w:val="000000"/>
      <w:kern w:val="44"/>
      <w:sz w:val="44"/>
      <w:szCs w:val="44"/>
    </w:rPr>
  </w:style>
  <w:style w:type="character" w:customStyle="1" w:styleId="38">
    <w:name w:val="文档结构图 字符"/>
    <w:link w:val="3"/>
    <w:semiHidden/>
    <w:qFormat/>
    <w:uiPriority w:val="0"/>
    <w:rPr>
      <w:rFonts w:ascii="Tahoma" w:hAnsi="Tahoma" w:eastAsia="宋体" w:cs="Tahoma"/>
      <w:kern w:val="0"/>
      <w:sz w:val="24"/>
      <w:szCs w:val="24"/>
      <w:shd w:val="clear" w:color="auto" w:fill="000080"/>
    </w:rPr>
  </w:style>
  <w:style w:type="character" w:customStyle="1" w:styleId="39">
    <w:name w:val="DeltaView Insertion"/>
    <w:qFormat/>
    <w:uiPriority w:val="0"/>
    <w:rPr>
      <w:color w:val="0000FF"/>
      <w:spacing w:val="0"/>
      <w:u w:val="double"/>
    </w:rPr>
  </w:style>
  <w:style w:type="character" w:customStyle="1" w:styleId="40">
    <w:name w:val="DeltaView Moved Deletion"/>
    <w:qFormat/>
    <w:uiPriority w:val="0"/>
    <w:rPr>
      <w:strike/>
      <w:color w:val="C08080"/>
      <w:spacing w:val="0"/>
    </w:rPr>
  </w:style>
  <w:style w:type="character" w:customStyle="1" w:styleId="41">
    <w:name w:val="正文文本缩进 字符"/>
    <w:link w:val="6"/>
    <w:qFormat/>
    <w:uiPriority w:val="0"/>
    <w:rPr>
      <w:rFonts w:ascii="Times New Roman" w:hAnsi="Times New Roman" w:eastAsia="宋体" w:cs="Times New Roman"/>
      <w:szCs w:val="21"/>
    </w:rPr>
  </w:style>
  <w:style w:type="character" w:customStyle="1" w:styleId="42">
    <w:name w:val="正文文本缩进 3 字符"/>
    <w:link w:val="14"/>
    <w:qFormat/>
    <w:uiPriority w:val="0"/>
    <w:rPr>
      <w:rFonts w:ascii="Times New Roman" w:hAnsi="Times New Roman" w:eastAsia="宋体" w:cs="Times New Roman"/>
      <w:sz w:val="16"/>
      <w:szCs w:val="16"/>
    </w:rPr>
  </w:style>
  <w:style w:type="character" w:customStyle="1" w:styleId="43">
    <w:name w:val="纯文本 字符"/>
    <w:link w:val="7"/>
    <w:qFormat/>
    <w:uiPriority w:val="99"/>
    <w:rPr>
      <w:rFonts w:ascii="宋体" w:hAnsi="Courier New" w:eastAsia="宋体" w:cs="Times New Roman"/>
      <w:color w:val="000000"/>
      <w:szCs w:val="21"/>
    </w:rPr>
  </w:style>
  <w:style w:type="character" w:customStyle="1" w:styleId="44">
    <w:name w:val="正文文本 字符"/>
    <w:link w:val="5"/>
    <w:qFormat/>
    <w:uiPriority w:val="0"/>
    <w:rPr>
      <w:rFonts w:ascii="宋体" w:hAnsi="宋体" w:eastAsia="宋体" w:cs="宋体"/>
      <w:sz w:val="24"/>
      <w:szCs w:val="24"/>
    </w:rPr>
  </w:style>
  <w:style w:type="character" w:customStyle="1" w:styleId="45">
    <w:name w:val="批注框文本 字符"/>
    <w:link w:val="9"/>
    <w:semiHidden/>
    <w:qFormat/>
    <w:uiPriority w:val="0"/>
    <w:rPr>
      <w:rFonts w:ascii="Times New Roman" w:hAnsi="Times New Roman" w:eastAsia="宋体" w:cs="Times New Roman"/>
      <w:sz w:val="18"/>
      <w:szCs w:val="18"/>
    </w:rPr>
  </w:style>
  <w:style w:type="character" w:customStyle="1" w:styleId="46">
    <w:name w:val="脚注文本 字符"/>
    <w:link w:val="13"/>
    <w:semiHidden/>
    <w:qFormat/>
    <w:uiPriority w:val="0"/>
    <w:rPr>
      <w:rFonts w:ascii="Times New Roman" w:hAnsi="Times New Roman" w:eastAsia="宋体" w:cs="Times New Roman"/>
      <w:sz w:val="20"/>
      <w:szCs w:val="20"/>
    </w:rPr>
  </w:style>
  <w:style w:type="character" w:customStyle="1" w:styleId="47">
    <w:name w:val="批注主题 字符"/>
    <w:link w:val="16"/>
    <w:semiHidden/>
    <w:qFormat/>
    <w:uiPriority w:val="0"/>
    <w:rPr>
      <w:rFonts w:ascii="Times New Roman" w:hAnsi="Times New Roman" w:eastAsia="宋体" w:cs="Times New Roman"/>
      <w:b/>
      <w:bCs/>
      <w:szCs w:val="21"/>
    </w:rPr>
  </w:style>
  <w:style w:type="paragraph" w:customStyle="1" w:styleId="48">
    <w:name w:val="Char Char1"/>
    <w:basedOn w:val="1"/>
    <w:qFormat/>
    <w:uiPriority w:val="0"/>
    <w:pPr>
      <w:widowControl/>
      <w:autoSpaceDE/>
      <w:autoSpaceDN/>
      <w:adjustRightInd/>
      <w:spacing w:after="160" w:line="240" w:lineRule="exact"/>
      <w:jc w:val="left"/>
    </w:pPr>
    <w:rPr>
      <w:rFonts w:ascii="Verdana" w:hAnsi="Verdana" w:eastAsia="Times New Roman"/>
      <w:kern w:val="0"/>
      <w:sz w:val="20"/>
      <w:szCs w:val="20"/>
      <w:lang w:eastAsia="en-US"/>
    </w:rPr>
  </w:style>
  <w:style w:type="paragraph" w:customStyle="1" w:styleId="49">
    <w:name w:val="FWB_L2"/>
    <w:basedOn w:val="50"/>
    <w:qFormat/>
    <w:uiPriority w:val="0"/>
    <w:pPr>
      <w:keepNext w:val="0"/>
      <w:keepLines w:val="0"/>
      <w:tabs>
        <w:tab w:val="left" w:pos="720"/>
      </w:tabs>
      <w:jc w:val="both"/>
      <w:outlineLvl w:val="9"/>
    </w:pPr>
    <w:rPr>
      <w:b w:val="0"/>
      <w:bCs w:val="0"/>
      <w:smallCaps w:val="0"/>
    </w:rPr>
  </w:style>
  <w:style w:type="paragraph" w:customStyle="1" w:styleId="50">
    <w:name w:val="FWB_L1"/>
    <w:basedOn w:val="1"/>
    <w:next w:val="49"/>
    <w:uiPriority w:val="0"/>
    <w:pPr>
      <w:keepNext/>
      <w:keepLines/>
      <w:widowControl/>
      <w:tabs>
        <w:tab w:val="left" w:pos="720"/>
      </w:tabs>
      <w:spacing w:after="240"/>
      <w:jc w:val="left"/>
      <w:outlineLvl w:val="0"/>
    </w:pPr>
    <w:rPr>
      <w:b/>
      <w:bCs/>
      <w:smallCaps/>
      <w:kern w:val="0"/>
      <w:sz w:val="24"/>
      <w:szCs w:val="24"/>
      <w:lang w:val="en-GB"/>
    </w:rPr>
  </w:style>
  <w:style w:type="paragraph" w:customStyle="1" w:styleId="51">
    <w:name w:val="Char Char1 Char Char1"/>
    <w:basedOn w:val="1"/>
    <w:qFormat/>
    <w:uiPriority w:val="0"/>
    <w:pPr>
      <w:widowControl/>
      <w:autoSpaceDE/>
      <w:autoSpaceDN/>
      <w:adjustRightInd/>
      <w:spacing w:after="160" w:line="240" w:lineRule="exact"/>
      <w:jc w:val="left"/>
    </w:pPr>
    <w:rPr>
      <w:rFonts w:ascii="Verdana" w:hAnsi="Verdana" w:eastAsia="Times New Roman"/>
      <w:kern w:val="0"/>
      <w:sz w:val="20"/>
      <w:szCs w:val="20"/>
      <w:lang w:eastAsia="en-US"/>
    </w:rPr>
  </w:style>
  <w:style w:type="paragraph" w:customStyle="1" w:styleId="52">
    <w:name w:val="FWB_L5"/>
    <w:basedOn w:val="53"/>
    <w:qFormat/>
    <w:uiPriority w:val="0"/>
    <w:pPr>
      <w:tabs>
        <w:tab w:val="left" w:pos="720"/>
      </w:tabs>
    </w:pPr>
  </w:style>
  <w:style w:type="paragraph" w:customStyle="1" w:styleId="53">
    <w:name w:val="FWB_L4"/>
    <w:basedOn w:val="54"/>
    <w:uiPriority w:val="0"/>
    <w:pPr>
      <w:tabs>
        <w:tab w:val="left" w:pos="720"/>
      </w:tabs>
    </w:pPr>
  </w:style>
  <w:style w:type="paragraph" w:customStyle="1" w:styleId="54">
    <w:name w:val="FWB_L3"/>
    <w:basedOn w:val="49"/>
    <w:uiPriority w:val="0"/>
  </w:style>
  <w:style w:type="paragraph" w:customStyle="1" w:styleId="55">
    <w:name w:val="DeltaView Announce"/>
    <w:qFormat/>
    <w:uiPriority w:val="0"/>
    <w:pPr>
      <w:autoSpaceDE w:val="0"/>
      <w:autoSpaceDN w:val="0"/>
      <w:adjustRightInd w:val="0"/>
      <w:spacing w:before="100" w:beforeAutospacing="1" w:after="100" w:afterAutospacing="1"/>
    </w:pPr>
    <w:rPr>
      <w:rFonts w:ascii="Arial" w:hAnsi="Arial" w:eastAsia="宋体" w:cs="Arial"/>
      <w:sz w:val="24"/>
      <w:szCs w:val="24"/>
      <w:lang w:val="en-GB" w:eastAsia="zh-CN" w:bidi="ar-SA"/>
    </w:rPr>
  </w:style>
  <w:style w:type="paragraph" w:customStyle="1" w:styleId="56">
    <w:name w:val="FWB_L6"/>
    <w:basedOn w:val="52"/>
    <w:qFormat/>
    <w:uiPriority w:val="0"/>
  </w:style>
  <w:style w:type="paragraph" w:customStyle="1" w:styleId="57">
    <w:name w:val="字元 字元 Char Char Char Char"/>
    <w:basedOn w:val="1"/>
    <w:uiPriority w:val="0"/>
    <w:pPr>
      <w:widowControl/>
      <w:spacing w:after="160" w:line="240" w:lineRule="exact"/>
      <w:jc w:val="left"/>
    </w:pPr>
    <w:rPr>
      <w:rFonts w:ascii="Verdana" w:hAnsi="Verdana" w:cs="Verdana"/>
      <w:kern w:val="0"/>
      <w:sz w:val="20"/>
      <w:szCs w:val="20"/>
    </w:rPr>
  </w:style>
  <w:style w:type="paragraph" w:customStyle="1" w:styleId="58">
    <w:name w:val="DeltaView Table Body"/>
    <w:basedOn w:val="1"/>
    <w:uiPriority w:val="0"/>
    <w:pPr>
      <w:widowControl/>
      <w:jc w:val="left"/>
    </w:pPr>
    <w:rPr>
      <w:rFonts w:ascii="Arial" w:hAnsi="Arial" w:cs="Arial"/>
      <w:kern w:val="0"/>
      <w:sz w:val="24"/>
      <w:szCs w:val="24"/>
    </w:rPr>
  </w:style>
  <w:style w:type="paragraph" w:customStyle="1" w:styleId="59">
    <w:name w:val="中等深浅网格 1 - 强调文字颜色 21"/>
    <w:basedOn w:val="1"/>
    <w:unhideWhenUsed/>
    <w:qFormat/>
    <w:uiPriority w:val="34"/>
    <w:pPr>
      <w:widowControl/>
      <w:autoSpaceDE/>
      <w:autoSpaceDN/>
      <w:adjustRightInd/>
      <w:ind w:firstLine="420" w:firstLineChars="200"/>
      <w:jc w:val="left"/>
    </w:pPr>
    <w:rPr>
      <w:rFonts w:eastAsia="PMingLiU"/>
      <w:kern w:val="0"/>
      <w:sz w:val="24"/>
      <w:szCs w:val="24"/>
      <w:lang w:eastAsia="zh-TW"/>
    </w:rPr>
  </w:style>
  <w:style w:type="paragraph" w:customStyle="1" w:styleId="60">
    <w:name w:val="Char Char"/>
    <w:basedOn w:val="1"/>
    <w:uiPriority w:val="0"/>
    <w:pPr>
      <w:widowControl/>
      <w:spacing w:after="160" w:line="240" w:lineRule="exact"/>
      <w:jc w:val="left"/>
    </w:pPr>
    <w:rPr>
      <w:rFonts w:ascii="Verdana" w:hAnsi="Verdana" w:cs="Verdana"/>
      <w:kern w:val="0"/>
      <w:sz w:val="20"/>
      <w:szCs w:val="20"/>
    </w:rPr>
  </w:style>
  <w:style w:type="paragraph" w:customStyle="1" w:styleId="61">
    <w:name w:val="目录 11"/>
    <w:basedOn w:val="1"/>
    <w:next w:val="1"/>
    <w:uiPriority w:val="39"/>
    <w:pPr>
      <w:spacing w:before="120" w:after="120"/>
      <w:jc w:val="left"/>
    </w:pPr>
    <w:rPr>
      <w:rFonts w:eastAsia="楷体_GB2312"/>
      <w:sz w:val="24"/>
      <w:szCs w:val="24"/>
    </w:rPr>
  </w:style>
  <w:style w:type="paragraph" w:customStyle="1" w:styleId="62">
    <w:name w:val="样式"/>
    <w:basedOn w:val="1"/>
    <w:next w:val="14"/>
    <w:uiPriority w:val="0"/>
    <w:pPr>
      <w:ind w:firstLine="560"/>
    </w:pPr>
    <w:rPr>
      <w:rFonts w:ascii="楷体_GB2312" w:hAnsi="宋体" w:eastAsia="楷体_GB2312" w:cs="楷体_GB2312"/>
      <w:sz w:val="28"/>
      <w:szCs w:val="28"/>
    </w:rPr>
  </w:style>
  <w:style w:type="paragraph" w:customStyle="1" w:styleId="63">
    <w:name w:val="Char Char Char Char Char Char Char Char Char Char"/>
    <w:basedOn w:val="1"/>
    <w:uiPriority w:val="0"/>
    <w:pPr>
      <w:widowControl/>
      <w:autoSpaceDE/>
      <w:autoSpaceDN/>
      <w:adjustRightInd/>
      <w:spacing w:after="160" w:line="240" w:lineRule="exact"/>
      <w:jc w:val="left"/>
    </w:pPr>
    <w:rPr>
      <w:rFonts w:ascii="Verdana" w:hAnsi="Verdana" w:eastAsia="Times New Roman"/>
      <w:kern w:val="0"/>
      <w:sz w:val="20"/>
      <w:szCs w:val="20"/>
      <w:lang w:eastAsia="en-US"/>
    </w:rPr>
  </w:style>
  <w:style w:type="paragraph" w:customStyle="1" w:styleId="64">
    <w:name w:val="列出段落"/>
    <w:basedOn w:val="1"/>
    <w:qFormat/>
    <w:uiPriority w:val="34"/>
    <w:pPr>
      <w:ind w:firstLine="420" w:firstLineChars="200"/>
    </w:pPr>
  </w:style>
  <w:style w:type="paragraph" w:customStyle="1" w:styleId="65">
    <w:name w:val="DeltaView Table Heading"/>
    <w:basedOn w:val="1"/>
    <w:uiPriority w:val="0"/>
    <w:pPr>
      <w:widowControl/>
      <w:spacing w:after="120"/>
      <w:jc w:val="left"/>
    </w:pPr>
    <w:rPr>
      <w:rFonts w:ascii="Arial" w:hAnsi="Arial" w:cs="Arial"/>
      <w:b/>
      <w:bCs/>
      <w:kern w:val="0"/>
      <w:sz w:val="24"/>
      <w:szCs w:val="24"/>
    </w:rPr>
  </w:style>
  <w:style w:type="paragraph" w:customStyle="1" w:styleId="66">
    <w:name w:val="Char Char1 Char Char"/>
    <w:basedOn w:val="1"/>
    <w:uiPriority w:val="0"/>
    <w:pPr>
      <w:widowControl/>
      <w:autoSpaceDE/>
      <w:autoSpaceDN/>
      <w:adjustRightInd/>
      <w:spacing w:after="160" w:line="240" w:lineRule="exact"/>
      <w:jc w:val="left"/>
    </w:pPr>
    <w:rPr>
      <w:rFonts w:ascii="Verdana" w:hAnsi="Verdana" w:eastAsia="Times New Roman"/>
      <w:kern w:val="0"/>
      <w:sz w:val="20"/>
      <w:szCs w:val="20"/>
      <w:lang w:eastAsia="en-US"/>
    </w:rPr>
  </w:style>
  <w:style w:type="paragraph" w:customStyle="1" w:styleId="67">
    <w:name w:val="FWB_L8"/>
    <w:basedOn w:val="68"/>
    <w:uiPriority w:val="0"/>
    <w:pPr>
      <w:tabs>
        <w:tab w:val="left" w:pos="720"/>
      </w:tabs>
    </w:pPr>
  </w:style>
  <w:style w:type="paragraph" w:customStyle="1" w:styleId="68">
    <w:name w:val="FWB_L7"/>
    <w:basedOn w:val="56"/>
    <w:uiPriority w:val="0"/>
  </w:style>
  <w:style w:type="paragraph" w:customStyle="1" w:styleId="69">
    <w:name w:val="样式1"/>
    <w:basedOn w:val="1"/>
    <w:uiPriority w:val="0"/>
    <w:pPr>
      <w:widowControl/>
      <w:spacing w:after="160" w:line="240" w:lineRule="exact"/>
      <w:jc w:val="left"/>
    </w:pPr>
    <w:rPr>
      <w:rFonts w:ascii="Verdana" w:hAnsi="Verdana" w:cs="Verdana"/>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2F6212-09FD-4021-BB87-669C8AEB2626}">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20</Pages>
  <Words>1472</Words>
  <Characters>8393</Characters>
  <Lines>69</Lines>
  <Paragraphs>19</Paragraphs>
  <TotalTime>24</TotalTime>
  <ScaleCrop>false</ScaleCrop>
  <LinksUpToDate>false</LinksUpToDate>
  <CharactersWithSpaces>9846</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2019-08-05T08:15:00Z</dcterms:created>
  <dc:creator>完毕</dc:creator>
  <cp:lastModifiedBy>believemyself1413997841</cp:lastModifiedBy>
  <cp:lastPrinted>2018-10-08T05:25:00Z</cp:lastPrinted>
  <dcterms:modified xsi:type="dcterms:W3CDTF">2019-08-06T02:50:58Z</dcterms:modified>
  <dc:title>龙居2017年第一期个人住房抵押贷款证券化信托贷款服务机构报告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