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57689" w14:textId="1DBF9212" w:rsidR="005847F1" w:rsidRPr="00D04277" w:rsidRDefault="00C662E3" w:rsidP="00D04277">
      <w:pPr>
        <w:spacing w:line="360" w:lineRule="auto"/>
        <w:rPr>
          <w:rFonts w:ascii="Times New Roman" w:hAnsi="Times New Roman" w:cs="Times New Roman"/>
          <w:sz w:val="24"/>
          <w:szCs w:val="24"/>
        </w:rPr>
      </w:pPr>
      <w:r w:rsidRPr="00D04277">
        <w:rPr>
          <w:rFonts w:ascii="Times New Roman" w:hAnsi="Times New Roman" w:cs="Times New Roman"/>
          <w:sz w:val="24"/>
          <w:szCs w:val="24"/>
        </w:rPr>
        <w:t>原理</w:t>
      </w:r>
    </w:p>
    <w:p w14:paraId="75B184EF" w14:textId="77777777" w:rsidR="00C662E3" w:rsidRPr="00D04277" w:rsidRDefault="00C662E3" w:rsidP="00D04277">
      <w:pPr>
        <w:spacing w:line="360" w:lineRule="auto"/>
        <w:rPr>
          <w:rFonts w:ascii="Times New Roman" w:hAnsi="Times New Roman" w:cs="Times New Roman"/>
          <w:sz w:val="24"/>
          <w:szCs w:val="24"/>
        </w:rPr>
      </w:pPr>
    </w:p>
    <w:p w14:paraId="2D84D0A4" w14:textId="064B1293" w:rsidR="00C662E3" w:rsidRPr="00D04277" w:rsidRDefault="000A089E" w:rsidP="00D04277">
      <w:pPr>
        <w:pStyle w:val="a9"/>
        <w:numPr>
          <w:ilvl w:val="0"/>
          <w:numId w:val="2"/>
        </w:numPr>
        <w:spacing w:line="360" w:lineRule="auto"/>
        <w:rPr>
          <w:rFonts w:ascii="Times New Roman" w:hAnsi="Times New Roman" w:cs="Times New Roman"/>
          <w:sz w:val="24"/>
          <w:szCs w:val="24"/>
        </w:rPr>
      </w:pPr>
      <w:r w:rsidRPr="00D04277">
        <w:rPr>
          <w:rFonts w:ascii="Times New Roman" w:hAnsi="Times New Roman" w:cs="Times New Roman" w:hint="eastAsia"/>
          <w:sz w:val="24"/>
          <w:szCs w:val="24"/>
        </w:rPr>
        <w:t xml:space="preserve">Delta and </w:t>
      </w:r>
      <w:r w:rsidRPr="00D04277">
        <w:rPr>
          <w:rFonts w:ascii="Times New Roman" w:hAnsi="Times New Roman" w:cs="Times New Roman"/>
          <w:sz w:val="24"/>
          <w:szCs w:val="24"/>
        </w:rPr>
        <w:t>Gamma</w:t>
      </w:r>
    </w:p>
    <w:p w14:paraId="536211EA" w14:textId="3005D60D" w:rsidR="00C662E3" w:rsidRPr="00D04277" w:rsidRDefault="00F232BE" w:rsidP="00D04277">
      <w:pPr>
        <w:spacing w:line="360" w:lineRule="auto"/>
        <w:rPr>
          <w:rFonts w:ascii="Times New Roman" w:hAnsi="Times New Roman" w:cs="Times New Roman"/>
          <w:sz w:val="24"/>
          <w:szCs w:val="24"/>
        </w:rPr>
      </w:pPr>
      <w:r w:rsidRPr="00D04277">
        <w:rPr>
          <w:rFonts w:ascii="Times New Roman" w:hAnsi="Times New Roman" w:cs="Times New Roman"/>
          <w:sz w:val="24"/>
          <w:szCs w:val="24"/>
        </w:rPr>
        <w:t>In the context of financial derivatives pricing and risk management, Delta and Gamma are key "Greeks" used to measure the sensitivity of an option's value to changes in the underlying asset. Delta represents the rate of change of the option price with respect to changes in the underlying asset price, effectively capturing the directional exposure of a position. Gamma, on the other hand, measures the rate of change of Delta itself, indicating how stable or unstable the Delta is as the underlying price fluctuates. Understanding and managing Delta and Gamma is essential for constructing effective hedging strategies and controlling risk exposure in derivatives portfolios.</w:t>
      </w:r>
    </w:p>
    <w:p w14:paraId="4AA35E6E" w14:textId="77777777" w:rsidR="00F232BE" w:rsidRPr="00D04277" w:rsidRDefault="00F232BE" w:rsidP="00D04277">
      <w:pPr>
        <w:spacing w:line="360" w:lineRule="auto"/>
        <w:rPr>
          <w:rFonts w:ascii="Times New Roman" w:hAnsi="Times New Roman" w:cs="Times New Roman"/>
          <w:sz w:val="24"/>
          <w:szCs w:val="24"/>
        </w:rPr>
      </w:pPr>
    </w:p>
    <w:p w14:paraId="3D6A7763" w14:textId="69FC5966" w:rsidR="00F232BE" w:rsidRPr="00D04277" w:rsidRDefault="00F232BE" w:rsidP="00D04277">
      <w:pPr>
        <w:pStyle w:val="a9"/>
        <w:numPr>
          <w:ilvl w:val="0"/>
          <w:numId w:val="2"/>
        </w:numPr>
        <w:spacing w:line="360" w:lineRule="auto"/>
        <w:rPr>
          <w:rFonts w:ascii="Times New Roman" w:hAnsi="Times New Roman" w:cs="Times New Roman"/>
          <w:sz w:val="24"/>
          <w:szCs w:val="24"/>
        </w:rPr>
      </w:pPr>
      <w:r w:rsidRPr="00D04277">
        <w:rPr>
          <w:rFonts w:ascii="Times New Roman" w:hAnsi="Times New Roman" w:cs="Times New Roman"/>
          <w:sz w:val="24"/>
          <w:szCs w:val="24"/>
        </w:rPr>
        <w:t>Dynamic Hedging</w:t>
      </w:r>
    </w:p>
    <w:p w14:paraId="1740A6E6" w14:textId="4C99A6E4" w:rsidR="00F232BE" w:rsidRPr="00D04277" w:rsidRDefault="00F232BE" w:rsidP="00D04277">
      <w:pPr>
        <w:spacing w:line="360" w:lineRule="auto"/>
        <w:rPr>
          <w:rFonts w:ascii="Times New Roman" w:hAnsi="Times New Roman" w:cs="Times New Roman"/>
          <w:sz w:val="24"/>
          <w:szCs w:val="24"/>
        </w:rPr>
      </w:pPr>
      <w:r w:rsidRPr="00D04277">
        <w:rPr>
          <w:rFonts w:ascii="Times New Roman" w:hAnsi="Times New Roman" w:cs="Times New Roman"/>
          <w:sz w:val="24"/>
          <w:szCs w:val="24"/>
        </w:rPr>
        <w:t xml:space="preserve">The predictive power of GEX is essentially driven by the necessity of </w:t>
      </w:r>
      <w:bookmarkStart w:id="0" w:name="OLE_LINK1"/>
      <w:r w:rsidRPr="00D04277">
        <w:rPr>
          <w:rFonts w:ascii="Times New Roman" w:hAnsi="Times New Roman" w:cs="Times New Roman"/>
          <w:sz w:val="24"/>
          <w:szCs w:val="24"/>
        </w:rPr>
        <w:t>option</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 xml:space="preserve">dealers' </w:t>
      </w:r>
      <w:bookmarkEnd w:id="0"/>
      <w:r w:rsidRPr="00D04277">
        <w:rPr>
          <w:rFonts w:ascii="Times New Roman" w:hAnsi="Times New Roman" w:cs="Times New Roman"/>
          <w:sz w:val="24"/>
          <w:szCs w:val="24"/>
        </w:rPr>
        <w:t>(market makers') re-hedging activities. In order to limit risk and</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realize pro</w:t>
      </w:r>
      <w:r w:rsidR="000A089E" w:rsidRPr="00D04277">
        <w:rPr>
          <w:rFonts w:ascii="Times New Roman" w:hAnsi="Times New Roman" w:cs="Times New Roman" w:hint="eastAsia"/>
          <w:sz w:val="24"/>
          <w:szCs w:val="24"/>
        </w:rPr>
        <w:t>fit</w:t>
      </w:r>
      <w:r w:rsidRPr="00D04277">
        <w:rPr>
          <w:rFonts w:ascii="Times New Roman" w:hAnsi="Times New Roman" w:cs="Times New Roman"/>
          <w:sz w:val="24"/>
          <w:szCs w:val="24"/>
        </w:rPr>
        <w:t>, an option market-maker must limit his exposure to delta.</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If, e.g., a market-maker sells a single, 20-delta put contract to an investor, he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must then short-sell approximately 20 shares of the underlying stock in</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order to (temporarily) neutralize the convexity e</w:t>
      </w:r>
      <w:r w:rsidR="000A089E" w:rsidRPr="00D04277">
        <w:rPr>
          <w:rFonts w:ascii="Times New Roman" w:hAnsi="Times New Roman" w:cs="Times New Roman" w:hint="eastAsia"/>
          <w:sz w:val="24"/>
          <w:szCs w:val="24"/>
        </w:rPr>
        <w:t>ff</w:t>
      </w:r>
      <w:r w:rsidRPr="00D04277">
        <w:rPr>
          <w:rFonts w:ascii="Times New Roman" w:hAnsi="Times New Roman" w:cs="Times New Roman"/>
          <w:sz w:val="24"/>
          <w:szCs w:val="24"/>
        </w:rPr>
        <w:t>ect of the option's gains</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and losses. Since the convexity itself cannot be hedged away, the market</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maker must commit to re-hedging the option to its new delta whenever the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underlying price changes enough to justify action.</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If in one case the price of the underlying falls and the put delta rises from 20</w:t>
      </w:r>
      <w:r w:rsidR="00E74990"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to 50, the market-maker will be compelled to short-sell an additional 30</w:t>
      </w:r>
      <w:r w:rsidR="00E74990"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shares of the underlying to stay delta-neutral. If instead the underlying rises</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 xml:space="preserve">and the put delta falls to 0, the market-maker would buy back the </w:t>
      </w:r>
      <w:r w:rsidR="000A089E" w:rsidRPr="00D04277">
        <w:rPr>
          <w:rFonts w:ascii="Times New Roman" w:hAnsi="Times New Roman" w:cs="Times New Roman"/>
          <w:sz w:val="24"/>
          <w:szCs w:val="24"/>
        </w:rPr>
        <w:t>previously</w:t>
      </w:r>
      <w:r w:rsidR="000A089E" w:rsidRPr="00D04277">
        <w:rPr>
          <w:rFonts w:ascii="Times New Roman" w:hAnsi="Times New Roman" w:cs="Times New Roman" w:hint="eastAsia"/>
          <w:sz w:val="24"/>
          <w:szCs w:val="24"/>
        </w:rPr>
        <w:t xml:space="preserve"> s</w:t>
      </w:r>
      <w:r w:rsidRPr="00D04277">
        <w:rPr>
          <w:rFonts w:ascii="Times New Roman" w:hAnsi="Times New Roman" w:cs="Times New Roman"/>
          <w:sz w:val="24"/>
          <w:szCs w:val="24"/>
        </w:rPr>
        <w:t>horted shares. Thus, a market-maker is essentially committed to a</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predictable and quant</w:t>
      </w:r>
      <w:r w:rsidR="00E74990" w:rsidRPr="00D04277">
        <w:rPr>
          <w:rFonts w:ascii="Times New Roman" w:hAnsi="Times New Roman" w:cs="Times New Roman" w:hint="eastAsia"/>
          <w:sz w:val="24"/>
          <w:szCs w:val="24"/>
        </w:rPr>
        <w:t>ifi</w:t>
      </w:r>
      <w:r w:rsidRPr="00D04277">
        <w:rPr>
          <w:rFonts w:ascii="Times New Roman" w:hAnsi="Times New Roman" w:cs="Times New Roman"/>
          <w:sz w:val="24"/>
          <w:szCs w:val="24"/>
        </w:rPr>
        <w:t>able regimen of buying and selling stock.</w:t>
      </w:r>
    </w:p>
    <w:p w14:paraId="2BE614B8" w14:textId="77777777" w:rsidR="008F559D" w:rsidRPr="00D04277" w:rsidRDefault="008F559D" w:rsidP="00D04277">
      <w:pPr>
        <w:spacing w:line="360" w:lineRule="auto"/>
        <w:rPr>
          <w:rFonts w:ascii="Times New Roman" w:hAnsi="Times New Roman" w:cs="Times New Roman"/>
          <w:sz w:val="24"/>
          <w:szCs w:val="24"/>
        </w:rPr>
      </w:pPr>
    </w:p>
    <w:p w14:paraId="4C7D3783" w14:textId="74446B7C" w:rsidR="008F559D" w:rsidRPr="008B7792" w:rsidRDefault="008F559D" w:rsidP="008B7792">
      <w:pPr>
        <w:pStyle w:val="a9"/>
        <w:numPr>
          <w:ilvl w:val="0"/>
          <w:numId w:val="2"/>
        </w:numPr>
        <w:spacing w:line="360" w:lineRule="auto"/>
        <w:rPr>
          <w:rFonts w:ascii="Times New Roman" w:hAnsi="Times New Roman" w:cs="Times New Roman"/>
          <w:sz w:val="24"/>
          <w:szCs w:val="24"/>
        </w:rPr>
      </w:pPr>
      <w:r w:rsidRPr="008B7792">
        <w:rPr>
          <w:rFonts w:ascii="Times New Roman" w:hAnsi="Times New Roman" w:cs="Times New Roman" w:hint="eastAsia"/>
          <w:sz w:val="24"/>
          <w:szCs w:val="24"/>
        </w:rPr>
        <w:t>Effect of</w:t>
      </w:r>
      <w:r w:rsidRPr="008B7792">
        <w:rPr>
          <w:sz w:val="24"/>
          <w:szCs w:val="24"/>
        </w:rPr>
        <w:t xml:space="preserve"> </w:t>
      </w:r>
      <w:r w:rsidRPr="008B7792">
        <w:rPr>
          <w:rFonts w:ascii="Times New Roman" w:hAnsi="Times New Roman" w:cs="Times New Roman" w:hint="eastAsia"/>
          <w:sz w:val="24"/>
          <w:szCs w:val="24"/>
        </w:rPr>
        <w:t>Dealer</w:t>
      </w:r>
      <w:r w:rsidRPr="008B7792">
        <w:rPr>
          <w:rFonts w:ascii="Times New Roman" w:hAnsi="Times New Roman" w:cs="Times New Roman"/>
          <w:sz w:val="24"/>
          <w:szCs w:val="24"/>
        </w:rPr>
        <w:t>’</w:t>
      </w:r>
      <w:r w:rsidRPr="008B7792">
        <w:rPr>
          <w:rFonts w:ascii="Times New Roman" w:hAnsi="Times New Roman" w:cs="Times New Roman" w:hint="eastAsia"/>
          <w:sz w:val="24"/>
          <w:szCs w:val="24"/>
        </w:rPr>
        <w:t xml:space="preserve">s </w:t>
      </w:r>
      <w:r w:rsidRPr="008B7792">
        <w:rPr>
          <w:rFonts w:ascii="Times New Roman" w:hAnsi="Times New Roman" w:cs="Times New Roman"/>
          <w:sz w:val="24"/>
          <w:szCs w:val="24"/>
        </w:rPr>
        <w:t>Dynamic Hedging</w:t>
      </w:r>
    </w:p>
    <w:p w14:paraId="4DD217EC" w14:textId="77777777" w:rsidR="0012612E" w:rsidRPr="00D04277" w:rsidRDefault="0012612E" w:rsidP="00D04277">
      <w:pPr>
        <w:spacing w:line="360" w:lineRule="auto"/>
        <w:rPr>
          <w:rFonts w:ascii="Times New Roman" w:hAnsi="Times New Roman" w:cs="Times New Roman"/>
          <w:sz w:val="24"/>
          <w:szCs w:val="24"/>
        </w:rPr>
      </w:pPr>
    </w:p>
    <w:p w14:paraId="017AE62F" w14:textId="77777777" w:rsidR="0012612E" w:rsidRPr="00D04277" w:rsidRDefault="0012612E" w:rsidP="00D04277">
      <w:pPr>
        <w:spacing w:line="360" w:lineRule="auto"/>
        <w:rPr>
          <w:rFonts w:ascii="Times New Roman" w:hAnsi="Times New Roman" w:cs="Times New Roman"/>
          <w:sz w:val="24"/>
          <w:szCs w:val="24"/>
        </w:rPr>
      </w:pPr>
    </w:p>
    <w:p w14:paraId="5C506B9B" w14:textId="77777777" w:rsidR="0012612E" w:rsidRPr="00D04277" w:rsidRDefault="0012612E" w:rsidP="00D04277">
      <w:pPr>
        <w:spacing w:line="360" w:lineRule="auto"/>
        <w:rPr>
          <w:rFonts w:ascii="Times New Roman" w:hAnsi="Times New Roman" w:cs="Times New Roman" w:hint="eastAsia"/>
          <w:sz w:val="24"/>
          <w:szCs w:val="24"/>
        </w:rPr>
      </w:pPr>
    </w:p>
    <w:tbl>
      <w:tblPr>
        <w:tblStyle w:val="ae"/>
        <w:tblW w:w="0" w:type="auto"/>
        <w:tblLook w:val="04A0" w:firstRow="1" w:lastRow="0" w:firstColumn="1" w:lastColumn="0" w:noHBand="0" w:noVBand="1"/>
      </w:tblPr>
      <w:tblGrid>
        <w:gridCol w:w="2489"/>
        <w:gridCol w:w="1103"/>
        <w:gridCol w:w="1117"/>
        <w:gridCol w:w="1410"/>
        <w:gridCol w:w="1555"/>
      </w:tblGrid>
      <w:tr w:rsidR="008F559D" w:rsidRPr="00D04277" w14:paraId="3EB2136B" w14:textId="77777777" w:rsidTr="005A3340">
        <w:tc>
          <w:tcPr>
            <w:tcW w:w="0" w:type="auto"/>
            <w:gridSpan w:val="5"/>
          </w:tcPr>
          <w:p w14:paraId="772E1A40" w14:textId="0515364C" w:rsidR="008F559D" w:rsidRPr="00D04277" w:rsidRDefault="00647FA9" w:rsidP="00D04277">
            <w:pPr>
              <w:spacing w:line="360" w:lineRule="auto"/>
              <w:jc w:val="center"/>
              <w:rPr>
                <w:rFonts w:ascii="Times New Roman" w:hAnsi="Times New Roman" w:cs="Times New Roman" w:hint="eastAsia"/>
                <w:b/>
                <w:bCs/>
                <w:sz w:val="24"/>
                <w:szCs w:val="24"/>
              </w:rPr>
            </w:pPr>
            <w:r w:rsidRPr="00D04277">
              <w:rPr>
                <w:rFonts w:ascii="Times New Roman" w:hAnsi="Times New Roman" w:cs="Times New Roman" w:hint="eastAsia"/>
                <w:b/>
                <w:bCs/>
                <w:sz w:val="24"/>
                <w:szCs w:val="24"/>
              </w:rPr>
              <w:t>O</w:t>
            </w:r>
            <w:r w:rsidRPr="00D04277">
              <w:rPr>
                <w:rFonts w:ascii="Times New Roman" w:hAnsi="Times New Roman" w:cs="Times New Roman"/>
                <w:b/>
                <w:bCs/>
                <w:sz w:val="24"/>
                <w:szCs w:val="24"/>
              </w:rPr>
              <w:t>ption</w:t>
            </w:r>
            <w:r w:rsidRPr="00D04277">
              <w:rPr>
                <w:rFonts w:ascii="Times New Roman" w:hAnsi="Times New Roman" w:cs="Times New Roman" w:hint="eastAsia"/>
                <w:b/>
                <w:bCs/>
                <w:sz w:val="24"/>
                <w:szCs w:val="24"/>
              </w:rPr>
              <w:t xml:space="preserve"> </w:t>
            </w:r>
            <w:r w:rsidRPr="00D04277">
              <w:rPr>
                <w:rFonts w:ascii="Times New Roman" w:hAnsi="Times New Roman" w:cs="Times New Roman" w:hint="eastAsia"/>
                <w:b/>
                <w:bCs/>
                <w:sz w:val="24"/>
                <w:szCs w:val="24"/>
              </w:rPr>
              <w:t>D</w:t>
            </w:r>
            <w:r w:rsidRPr="00D04277">
              <w:rPr>
                <w:rFonts w:ascii="Times New Roman" w:hAnsi="Times New Roman" w:cs="Times New Roman"/>
                <w:b/>
                <w:bCs/>
                <w:sz w:val="24"/>
                <w:szCs w:val="24"/>
              </w:rPr>
              <w:t>ealers'</w:t>
            </w:r>
            <w:r w:rsidRPr="00D04277">
              <w:rPr>
                <w:rFonts w:ascii="Times New Roman" w:hAnsi="Times New Roman" w:cs="Times New Roman" w:hint="eastAsia"/>
                <w:b/>
                <w:bCs/>
                <w:sz w:val="24"/>
                <w:szCs w:val="24"/>
              </w:rPr>
              <w:t xml:space="preserve"> Opening Interest</w:t>
            </w:r>
          </w:p>
        </w:tc>
      </w:tr>
      <w:tr w:rsidR="008F559D" w:rsidRPr="00D04277" w14:paraId="3D6DBBBD" w14:textId="77777777" w:rsidTr="008F559D">
        <w:tc>
          <w:tcPr>
            <w:tcW w:w="0" w:type="auto"/>
          </w:tcPr>
          <w:p w14:paraId="53E80969" w14:textId="4E40581B"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Option</w:t>
            </w:r>
          </w:p>
        </w:tc>
        <w:tc>
          <w:tcPr>
            <w:tcW w:w="0" w:type="auto"/>
          </w:tcPr>
          <w:p w14:paraId="07BDE088" w14:textId="42C46070"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Put</w:t>
            </w:r>
          </w:p>
        </w:tc>
        <w:tc>
          <w:tcPr>
            <w:tcW w:w="0" w:type="auto"/>
          </w:tcPr>
          <w:p w14:paraId="1A5B7DA7" w14:textId="0F91F66B"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Put</w:t>
            </w:r>
          </w:p>
        </w:tc>
        <w:tc>
          <w:tcPr>
            <w:tcW w:w="0" w:type="auto"/>
          </w:tcPr>
          <w:p w14:paraId="42F024A4" w14:textId="792844E9"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Call</w:t>
            </w:r>
          </w:p>
        </w:tc>
        <w:tc>
          <w:tcPr>
            <w:tcW w:w="0" w:type="auto"/>
          </w:tcPr>
          <w:p w14:paraId="11BA9188" w14:textId="24B507A0"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Call</w:t>
            </w:r>
          </w:p>
        </w:tc>
      </w:tr>
      <w:tr w:rsidR="008F559D" w:rsidRPr="00D04277" w14:paraId="5AC06F40" w14:textId="77777777" w:rsidTr="008F559D">
        <w:tc>
          <w:tcPr>
            <w:tcW w:w="0" w:type="auto"/>
          </w:tcPr>
          <w:p w14:paraId="5835B649" w14:textId="05EF7BC5"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Underlying</w:t>
            </w:r>
          </w:p>
        </w:tc>
        <w:tc>
          <w:tcPr>
            <w:tcW w:w="0" w:type="auto"/>
          </w:tcPr>
          <w:p w14:paraId="1F9EE464" w14:textId="13099A1A"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S</w:t>
            </w:r>
          </w:p>
        </w:tc>
        <w:tc>
          <w:tcPr>
            <w:tcW w:w="0" w:type="auto"/>
          </w:tcPr>
          <w:p w14:paraId="2DAC89F3" w14:textId="73FCF87D"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S</w:t>
            </w:r>
          </w:p>
        </w:tc>
        <w:tc>
          <w:tcPr>
            <w:tcW w:w="0" w:type="auto"/>
          </w:tcPr>
          <w:p w14:paraId="4F34FCE7" w14:textId="631613F9"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S</w:t>
            </w:r>
          </w:p>
        </w:tc>
        <w:tc>
          <w:tcPr>
            <w:tcW w:w="0" w:type="auto"/>
          </w:tcPr>
          <w:p w14:paraId="3ED70AA7" w14:textId="669064BA"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S</w:t>
            </w:r>
          </w:p>
        </w:tc>
      </w:tr>
      <w:tr w:rsidR="008F559D" w:rsidRPr="00D04277" w14:paraId="0572BB67" w14:textId="77777777" w:rsidTr="008F559D">
        <w:tc>
          <w:tcPr>
            <w:tcW w:w="0" w:type="auto"/>
          </w:tcPr>
          <w:p w14:paraId="5CA0DC3D" w14:textId="2AC43EFD" w:rsidR="008F559D" w:rsidRPr="00D04277" w:rsidRDefault="008F559D" w:rsidP="00D04277">
            <w:pPr>
              <w:spacing w:line="360" w:lineRule="auto"/>
              <w:jc w:val="center"/>
              <w:rPr>
                <w:rFonts w:ascii="Times New Roman" w:hAnsi="Times New Roman" w:cs="Times New Roman" w:hint="eastAsia"/>
                <w:b/>
                <w:bCs/>
                <w:sz w:val="24"/>
                <w:szCs w:val="24"/>
              </w:rPr>
            </w:pPr>
            <w:r w:rsidRPr="00D04277">
              <w:rPr>
                <w:rFonts w:ascii="Times New Roman" w:hAnsi="Times New Roman" w:cs="Times New Roman" w:hint="eastAsia"/>
                <w:b/>
                <w:bCs/>
                <w:sz w:val="24"/>
                <w:szCs w:val="24"/>
              </w:rPr>
              <w:t>Price Movements</w:t>
            </w:r>
          </w:p>
        </w:tc>
        <w:tc>
          <w:tcPr>
            <w:tcW w:w="0" w:type="auto"/>
            <w:gridSpan w:val="4"/>
          </w:tcPr>
          <w:p w14:paraId="1B50CA6F" w14:textId="21C3C291" w:rsidR="008F559D" w:rsidRPr="00D04277" w:rsidRDefault="008F559D" w:rsidP="00D04277">
            <w:pPr>
              <w:spacing w:line="360" w:lineRule="auto"/>
              <w:jc w:val="center"/>
              <w:rPr>
                <w:rFonts w:ascii="Times New Roman" w:hAnsi="Times New Roman" w:cs="Times New Roman" w:hint="eastAsia"/>
                <w:b/>
                <w:bCs/>
                <w:sz w:val="24"/>
                <w:szCs w:val="24"/>
              </w:rPr>
            </w:pPr>
            <w:r w:rsidRPr="00D04277">
              <w:rPr>
                <w:rFonts w:ascii="Times New Roman" w:hAnsi="Times New Roman" w:cs="Times New Roman"/>
                <w:b/>
                <w:bCs/>
                <w:sz w:val="24"/>
                <w:szCs w:val="24"/>
              </w:rPr>
              <w:t>Dynamic Hedging</w:t>
            </w:r>
          </w:p>
        </w:tc>
      </w:tr>
      <w:tr w:rsidR="008F559D" w:rsidRPr="00D04277" w14:paraId="6F90B708" w14:textId="77777777" w:rsidTr="008F559D">
        <w:tc>
          <w:tcPr>
            <w:tcW w:w="0" w:type="auto"/>
          </w:tcPr>
          <w:p w14:paraId="6BA2B10B" w14:textId="1E9E3169"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 Up</w:t>
            </w:r>
          </w:p>
        </w:tc>
        <w:tc>
          <w:tcPr>
            <w:tcW w:w="0" w:type="auto"/>
          </w:tcPr>
          <w:p w14:paraId="5B6ED407" w14:textId="0ADB2E72"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S</w:t>
            </w:r>
          </w:p>
        </w:tc>
        <w:tc>
          <w:tcPr>
            <w:tcW w:w="0" w:type="auto"/>
          </w:tcPr>
          <w:p w14:paraId="45C8F313" w14:textId="36EE35DF"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S</w:t>
            </w:r>
          </w:p>
        </w:tc>
        <w:tc>
          <w:tcPr>
            <w:tcW w:w="0" w:type="auto"/>
          </w:tcPr>
          <w:p w14:paraId="4921F445" w14:textId="43503E90"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S</w:t>
            </w:r>
          </w:p>
        </w:tc>
        <w:tc>
          <w:tcPr>
            <w:tcW w:w="0" w:type="auto"/>
          </w:tcPr>
          <w:p w14:paraId="36A4E923" w14:textId="3DA7F694"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Short S</w:t>
            </w:r>
          </w:p>
        </w:tc>
      </w:tr>
      <w:tr w:rsidR="008F559D" w:rsidRPr="00D04277" w14:paraId="76610AA6" w14:textId="77777777" w:rsidTr="008F559D">
        <w:tc>
          <w:tcPr>
            <w:tcW w:w="0" w:type="auto"/>
          </w:tcPr>
          <w:p w14:paraId="036F3AF5" w14:textId="0FF2B5D5"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S Down</w:t>
            </w:r>
          </w:p>
        </w:tc>
        <w:tc>
          <w:tcPr>
            <w:tcW w:w="0" w:type="auto"/>
          </w:tcPr>
          <w:p w14:paraId="5D357D9A" w14:textId="4871A9E2"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S</w:t>
            </w:r>
          </w:p>
        </w:tc>
        <w:tc>
          <w:tcPr>
            <w:tcW w:w="0" w:type="auto"/>
          </w:tcPr>
          <w:p w14:paraId="68206A6A" w14:textId="290DE2B6"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S</w:t>
            </w:r>
          </w:p>
        </w:tc>
        <w:tc>
          <w:tcPr>
            <w:tcW w:w="0" w:type="auto"/>
          </w:tcPr>
          <w:p w14:paraId="3E9F4CCF" w14:textId="787D04A2"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S</w:t>
            </w:r>
          </w:p>
        </w:tc>
        <w:tc>
          <w:tcPr>
            <w:tcW w:w="0" w:type="auto"/>
          </w:tcPr>
          <w:p w14:paraId="0052750C" w14:textId="6FAB5C50" w:rsidR="008F559D" w:rsidRPr="00D04277" w:rsidRDefault="008F559D"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Long S</w:t>
            </w:r>
          </w:p>
        </w:tc>
      </w:tr>
      <w:tr w:rsidR="008F559D" w:rsidRPr="00D04277" w14:paraId="3CB1468F" w14:textId="77777777" w:rsidTr="008F559D">
        <w:tc>
          <w:tcPr>
            <w:tcW w:w="0" w:type="auto"/>
            <w:gridSpan w:val="5"/>
          </w:tcPr>
          <w:p w14:paraId="697B5D25" w14:textId="3495B32C" w:rsidR="008F559D" w:rsidRPr="00D04277" w:rsidRDefault="008F559D" w:rsidP="00D04277">
            <w:pPr>
              <w:spacing w:line="360" w:lineRule="auto"/>
              <w:jc w:val="center"/>
              <w:rPr>
                <w:rFonts w:ascii="Times New Roman" w:hAnsi="Times New Roman" w:cs="Times New Roman" w:hint="eastAsia"/>
                <w:b/>
                <w:bCs/>
                <w:sz w:val="24"/>
                <w:szCs w:val="24"/>
              </w:rPr>
            </w:pPr>
            <w:r w:rsidRPr="00D04277">
              <w:rPr>
                <w:rFonts w:ascii="Times New Roman" w:hAnsi="Times New Roman" w:cs="Times New Roman" w:hint="eastAsia"/>
                <w:b/>
                <w:bCs/>
                <w:sz w:val="24"/>
                <w:szCs w:val="24"/>
              </w:rPr>
              <w:t>Impact of</w:t>
            </w:r>
            <w:r w:rsidR="00647FA9" w:rsidRPr="00D04277">
              <w:rPr>
                <w:rFonts w:ascii="Times New Roman" w:hAnsi="Times New Roman" w:cs="Times New Roman" w:hint="eastAsia"/>
                <w:b/>
                <w:bCs/>
                <w:sz w:val="24"/>
                <w:szCs w:val="24"/>
              </w:rPr>
              <w:t xml:space="preserve"> </w:t>
            </w:r>
            <w:r w:rsidR="00647FA9" w:rsidRPr="00D04277">
              <w:rPr>
                <w:rFonts w:ascii="Times New Roman" w:hAnsi="Times New Roman" w:cs="Times New Roman" w:hint="eastAsia"/>
                <w:b/>
                <w:bCs/>
                <w:sz w:val="24"/>
                <w:szCs w:val="24"/>
              </w:rPr>
              <w:t>Dynamic Hedging</w:t>
            </w:r>
          </w:p>
        </w:tc>
      </w:tr>
      <w:tr w:rsidR="008F559D" w:rsidRPr="00D04277" w14:paraId="2E4536D5" w14:textId="77777777" w:rsidTr="008F559D">
        <w:tc>
          <w:tcPr>
            <w:tcW w:w="0" w:type="auto"/>
          </w:tcPr>
          <w:p w14:paraId="214E710A" w14:textId="79363A7E" w:rsidR="008F559D" w:rsidRPr="00D04277" w:rsidRDefault="00647FA9" w:rsidP="00D04277">
            <w:pPr>
              <w:spacing w:line="360" w:lineRule="auto"/>
              <w:rPr>
                <w:rFonts w:ascii="Times New Roman" w:hAnsi="Times New Roman" w:cs="Times New Roman" w:hint="eastAsia"/>
                <w:sz w:val="24"/>
                <w:szCs w:val="24"/>
              </w:rPr>
            </w:pPr>
            <w:r w:rsidRPr="00D04277">
              <w:rPr>
                <w:rFonts w:ascii="Times New Roman" w:hAnsi="Times New Roman" w:cs="Times New Roman" w:hint="eastAsia"/>
                <w:sz w:val="24"/>
                <w:szCs w:val="24"/>
              </w:rPr>
              <w:t>Impact to S movements</w:t>
            </w:r>
          </w:p>
        </w:tc>
        <w:tc>
          <w:tcPr>
            <w:tcW w:w="0" w:type="auto"/>
          </w:tcPr>
          <w:p w14:paraId="59534162" w14:textId="0679368F" w:rsidR="008F559D" w:rsidRPr="00D04277" w:rsidRDefault="00647FA9"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Curb</w:t>
            </w:r>
          </w:p>
        </w:tc>
        <w:tc>
          <w:tcPr>
            <w:tcW w:w="0" w:type="auto"/>
          </w:tcPr>
          <w:p w14:paraId="6A0021A5" w14:textId="413F9E9A" w:rsidR="008F559D" w:rsidRPr="00D04277" w:rsidRDefault="00647FA9"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Promote</w:t>
            </w:r>
          </w:p>
        </w:tc>
        <w:tc>
          <w:tcPr>
            <w:tcW w:w="1410" w:type="dxa"/>
          </w:tcPr>
          <w:p w14:paraId="22179700" w14:textId="125BF9C2" w:rsidR="008F559D" w:rsidRPr="00D04277" w:rsidRDefault="00647FA9"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Curb</w:t>
            </w:r>
          </w:p>
        </w:tc>
        <w:tc>
          <w:tcPr>
            <w:tcW w:w="1555" w:type="dxa"/>
          </w:tcPr>
          <w:p w14:paraId="7E08AF97" w14:textId="04D9D6A6" w:rsidR="008F559D" w:rsidRPr="00D04277" w:rsidRDefault="00647FA9" w:rsidP="00D04277">
            <w:pPr>
              <w:spacing w:line="360" w:lineRule="auto"/>
              <w:jc w:val="center"/>
              <w:rPr>
                <w:rFonts w:ascii="Times New Roman" w:hAnsi="Times New Roman" w:cs="Times New Roman" w:hint="eastAsia"/>
                <w:sz w:val="24"/>
                <w:szCs w:val="24"/>
              </w:rPr>
            </w:pPr>
            <w:r w:rsidRPr="00D04277">
              <w:rPr>
                <w:rFonts w:ascii="Times New Roman" w:hAnsi="Times New Roman" w:cs="Times New Roman" w:hint="eastAsia"/>
                <w:sz w:val="24"/>
                <w:szCs w:val="24"/>
              </w:rPr>
              <w:t>Promote</w:t>
            </w:r>
          </w:p>
        </w:tc>
      </w:tr>
    </w:tbl>
    <w:p w14:paraId="3068A3AB" w14:textId="77777777" w:rsidR="000A089E" w:rsidRPr="00D04277" w:rsidRDefault="000A089E" w:rsidP="00D04277">
      <w:pPr>
        <w:spacing w:line="360" w:lineRule="auto"/>
        <w:rPr>
          <w:rFonts w:ascii="Times New Roman" w:hAnsi="Times New Roman" w:cs="Times New Roman" w:hint="eastAsia"/>
          <w:sz w:val="24"/>
          <w:szCs w:val="24"/>
        </w:rPr>
      </w:pPr>
    </w:p>
    <w:p w14:paraId="743EAD78" w14:textId="32D4FFDE" w:rsidR="00F232BE" w:rsidRPr="00D04277" w:rsidRDefault="00F232BE" w:rsidP="00D04277">
      <w:pPr>
        <w:pStyle w:val="a9"/>
        <w:numPr>
          <w:ilvl w:val="0"/>
          <w:numId w:val="2"/>
        </w:numPr>
        <w:spacing w:line="360" w:lineRule="auto"/>
        <w:rPr>
          <w:rFonts w:ascii="Times New Roman" w:hAnsi="Times New Roman" w:cs="Times New Roman"/>
          <w:sz w:val="24"/>
          <w:szCs w:val="24"/>
        </w:rPr>
      </w:pPr>
      <w:r w:rsidRPr="00D04277">
        <w:rPr>
          <w:rFonts w:ascii="Times New Roman" w:hAnsi="Times New Roman" w:cs="Times New Roman"/>
          <w:sz w:val="24"/>
          <w:szCs w:val="24"/>
        </w:rPr>
        <w:t>Four Assumptions</w:t>
      </w:r>
    </w:p>
    <w:p w14:paraId="0DD00CC5" w14:textId="69872F4B" w:rsidR="00F232BE" w:rsidRPr="00D04277" w:rsidRDefault="00F232BE" w:rsidP="00D04277">
      <w:pPr>
        <w:spacing w:line="360" w:lineRule="auto"/>
        <w:rPr>
          <w:rFonts w:ascii="Times New Roman" w:hAnsi="Times New Roman" w:cs="Times New Roman"/>
          <w:sz w:val="24"/>
          <w:szCs w:val="24"/>
        </w:rPr>
      </w:pPr>
      <w:r w:rsidRPr="00D04277">
        <w:rPr>
          <w:rFonts w:ascii="Times New Roman" w:hAnsi="Times New Roman" w:cs="Times New Roman"/>
          <w:sz w:val="24"/>
          <w:szCs w:val="24"/>
        </w:rPr>
        <w:t>The size and liquidity of the equity option market is what makes it possible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to glean predictive information from the impact of hedging activity, but it</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also introduces some challenges. With a few assumptions, we attempt to</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overcome those challenges:</w:t>
      </w:r>
    </w:p>
    <w:p w14:paraId="5E522958" w14:textId="02211054" w:rsidR="00F232BE" w:rsidRPr="00D04277" w:rsidRDefault="00F232BE" w:rsidP="00D04277">
      <w:pPr>
        <w:pStyle w:val="a9"/>
        <w:numPr>
          <w:ilvl w:val="0"/>
          <w:numId w:val="3"/>
        </w:numPr>
        <w:spacing w:line="360" w:lineRule="auto"/>
        <w:rPr>
          <w:rFonts w:ascii="Times New Roman" w:hAnsi="Times New Roman" w:cs="Times New Roman"/>
          <w:sz w:val="24"/>
          <w:szCs w:val="24"/>
        </w:rPr>
      </w:pPr>
      <w:r w:rsidRPr="00D04277">
        <w:rPr>
          <w:rFonts w:ascii="Times New Roman" w:hAnsi="Times New Roman" w:cs="Times New Roman"/>
          <w:sz w:val="24"/>
          <w:szCs w:val="24"/>
        </w:rPr>
        <w:t>All traded options are facilitated by delta-hedgers. This is to say that every</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option contract is either bought by, or sold by, a market participant whose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business is to pro5tably manage a book of options.</w:t>
      </w:r>
    </w:p>
    <w:p w14:paraId="5DA3CD5D" w14:textId="2AD4A0EC" w:rsidR="00F232BE" w:rsidRPr="00D04277" w:rsidRDefault="00F232BE" w:rsidP="00D04277">
      <w:pPr>
        <w:pStyle w:val="a9"/>
        <w:numPr>
          <w:ilvl w:val="0"/>
          <w:numId w:val="3"/>
        </w:numPr>
        <w:spacing w:line="360" w:lineRule="auto"/>
        <w:rPr>
          <w:rFonts w:ascii="Times New Roman" w:hAnsi="Times New Roman" w:cs="Times New Roman"/>
          <w:sz w:val="24"/>
          <w:szCs w:val="24"/>
        </w:rPr>
      </w:pPr>
      <w:r w:rsidRPr="00D04277">
        <w:rPr>
          <w:rFonts w:ascii="Times New Roman" w:hAnsi="Times New Roman" w:cs="Times New Roman"/>
          <w:sz w:val="24"/>
          <w:szCs w:val="24"/>
        </w:rPr>
        <w:t>Call options are sold by investors; bought by market-makers. It is di</w:t>
      </w:r>
      <w:r w:rsidR="006829E5" w:rsidRPr="00D04277">
        <w:rPr>
          <w:rFonts w:ascii="Times New Roman" w:hAnsi="Times New Roman" w:cs="Times New Roman" w:hint="eastAsia"/>
          <w:sz w:val="24"/>
          <w:szCs w:val="24"/>
        </w:rPr>
        <w:t>ffi</w:t>
      </w:r>
      <w:r w:rsidRPr="00D04277">
        <w:rPr>
          <w:rFonts w:ascii="Times New Roman" w:hAnsi="Times New Roman" w:cs="Times New Roman"/>
          <w:sz w:val="24"/>
          <w:szCs w:val="24"/>
        </w:rPr>
        <w:t>cult</w:t>
      </w:r>
      <w:r w:rsidR="006829E5"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to</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determine the “direction” of a trade in an ultra-liquid market, as in the case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of SPX options. A vast majority will trade at the midpoint of the bid and ask.</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It is apparent from an analysis of skew, open interest at strike, and</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(circularly) the e</w:t>
      </w:r>
      <w:r w:rsidR="000A089E" w:rsidRPr="00D04277">
        <w:rPr>
          <w:rFonts w:ascii="Times New Roman" w:hAnsi="Times New Roman" w:cs="Times New Roman" w:hint="eastAsia"/>
          <w:sz w:val="24"/>
          <w:szCs w:val="24"/>
        </w:rPr>
        <w:t>ff</w:t>
      </w:r>
      <w:r w:rsidRPr="00D04277">
        <w:rPr>
          <w:rFonts w:ascii="Times New Roman" w:hAnsi="Times New Roman" w:cs="Times New Roman"/>
          <w:sz w:val="24"/>
          <w:szCs w:val="24"/>
        </w:rPr>
        <w:t>ects of GEX, however, that the practice of call overwriting</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(and stock collaring) drives the market for calls.</w:t>
      </w:r>
    </w:p>
    <w:p w14:paraId="72235EB6" w14:textId="5B1F8E44" w:rsidR="00F232BE" w:rsidRPr="00D04277" w:rsidRDefault="00F232BE" w:rsidP="00D04277">
      <w:pPr>
        <w:pStyle w:val="a9"/>
        <w:numPr>
          <w:ilvl w:val="0"/>
          <w:numId w:val="3"/>
        </w:numPr>
        <w:spacing w:line="360" w:lineRule="auto"/>
        <w:rPr>
          <w:rFonts w:ascii="Times New Roman" w:hAnsi="Times New Roman" w:cs="Times New Roman"/>
          <w:sz w:val="24"/>
          <w:szCs w:val="24"/>
        </w:rPr>
      </w:pPr>
      <w:r w:rsidRPr="00D04277">
        <w:rPr>
          <w:rFonts w:ascii="Times New Roman" w:hAnsi="Times New Roman" w:cs="Times New Roman"/>
          <w:sz w:val="24"/>
          <w:szCs w:val="24"/>
        </w:rPr>
        <w:t>Put options are bought by investors; sold by market-makers. As with calls,</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puts are primarily used by investors who are already exposed to the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underlying market, and who are looking to modify the return pro5le of their</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portfolio by using options. The “protective put” commands a premium for</w:t>
      </w:r>
      <w:r w:rsidR="006829E5"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this reason, thus in</w:t>
      </w:r>
      <w:r w:rsidR="000A089E" w:rsidRPr="00D04277">
        <w:rPr>
          <w:rFonts w:ascii="Times New Roman" w:hAnsi="Times New Roman" w:cs="Times New Roman" w:hint="eastAsia"/>
          <w:sz w:val="24"/>
          <w:szCs w:val="24"/>
        </w:rPr>
        <w:t>fl</w:t>
      </w:r>
      <w:r w:rsidRPr="00D04277">
        <w:rPr>
          <w:rFonts w:ascii="Times New Roman" w:hAnsi="Times New Roman" w:cs="Times New Roman"/>
          <w:sz w:val="24"/>
          <w:szCs w:val="24"/>
        </w:rPr>
        <w:t>uencing the apparent vertical skew of index options.</w:t>
      </w:r>
    </w:p>
    <w:p w14:paraId="48A33313" w14:textId="311F4DFF" w:rsidR="006829E5" w:rsidRPr="00D04277" w:rsidRDefault="00F232BE" w:rsidP="00D04277">
      <w:pPr>
        <w:pStyle w:val="a9"/>
        <w:numPr>
          <w:ilvl w:val="0"/>
          <w:numId w:val="3"/>
        </w:numPr>
        <w:spacing w:line="360" w:lineRule="auto"/>
        <w:rPr>
          <w:rFonts w:ascii="Times New Roman" w:hAnsi="Times New Roman" w:cs="Times New Roman" w:hint="eastAsia"/>
          <w:sz w:val="24"/>
          <w:szCs w:val="24"/>
        </w:rPr>
      </w:pPr>
      <w:r w:rsidRPr="00D04277">
        <w:rPr>
          <w:rFonts w:ascii="Times New Roman" w:hAnsi="Times New Roman" w:cs="Times New Roman"/>
          <w:sz w:val="24"/>
          <w:szCs w:val="24"/>
        </w:rPr>
        <w:t>Market-makers hedge precisely to the option delta. If market-makers hedged</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their deltas every time an option's delta changed, they would be trading</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incessantly. In reality, market-makers utilize “hedging bands” to balance the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twin challenges of hedging costs and delta risk. Since it is not feasible to</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gauge the breadth of every market-maker's hedging band, we simply use the</w:t>
      </w:r>
      <w:r w:rsidR="000A089E" w:rsidRPr="00D04277">
        <w:rPr>
          <w:rFonts w:ascii="Times New Roman" w:hAnsi="Times New Roman" w:cs="Times New Roman" w:hint="eastAsia"/>
          <w:sz w:val="24"/>
          <w:szCs w:val="24"/>
        </w:rPr>
        <w:t xml:space="preserve"> </w:t>
      </w:r>
      <w:r w:rsidRPr="00D04277">
        <w:rPr>
          <w:rFonts w:ascii="Times New Roman" w:hAnsi="Times New Roman" w:cs="Times New Roman"/>
          <w:sz w:val="24"/>
          <w:szCs w:val="24"/>
        </w:rPr>
        <w:t>delta of the option.</w:t>
      </w:r>
    </w:p>
    <w:p w14:paraId="101B2AE2" w14:textId="6967A7F4" w:rsidR="00F232BE" w:rsidRPr="00D04277" w:rsidRDefault="00F232BE" w:rsidP="00D04277">
      <w:pPr>
        <w:spacing w:line="360" w:lineRule="auto"/>
        <w:rPr>
          <w:rFonts w:ascii="Times New Roman" w:hAnsi="Times New Roman" w:cs="Times New Roman"/>
          <w:sz w:val="24"/>
          <w:szCs w:val="24"/>
        </w:rPr>
      </w:pPr>
      <w:r w:rsidRPr="00D04277">
        <w:rPr>
          <w:rFonts w:ascii="Times New Roman" w:hAnsi="Times New Roman" w:cs="Times New Roman"/>
          <w:sz w:val="24"/>
          <w:szCs w:val="24"/>
        </w:rPr>
        <w:t>With these assumptions we can compute GEX.</w:t>
      </w:r>
    </w:p>
    <w:sectPr w:rsidR="00F232BE" w:rsidRPr="00D04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8686B"/>
    <w:multiLevelType w:val="hybridMultilevel"/>
    <w:tmpl w:val="03AA0F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D0F482A"/>
    <w:multiLevelType w:val="hybridMultilevel"/>
    <w:tmpl w:val="303E330A"/>
    <w:lvl w:ilvl="0" w:tplc="3C5ABE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EC3EA5"/>
    <w:multiLevelType w:val="hybridMultilevel"/>
    <w:tmpl w:val="0EBA4BC0"/>
    <w:lvl w:ilvl="0" w:tplc="34CAA12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2168561">
    <w:abstractNumId w:val="1"/>
  </w:num>
  <w:num w:numId="2" w16cid:durableId="188106826">
    <w:abstractNumId w:val="0"/>
  </w:num>
  <w:num w:numId="3" w16cid:durableId="41058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E3"/>
    <w:rsid w:val="000A089E"/>
    <w:rsid w:val="0012612E"/>
    <w:rsid w:val="00521E02"/>
    <w:rsid w:val="005847F1"/>
    <w:rsid w:val="00647FA9"/>
    <w:rsid w:val="006829E5"/>
    <w:rsid w:val="007C66C6"/>
    <w:rsid w:val="008B7792"/>
    <w:rsid w:val="008F559D"/>
    <w:rsid w:val="00BB248D"/>
    <w:rsid w:val="00C662E3"/>
    <w:rsid w:val="00D04277"/>
    <w:rsid w:val="00E74990"/>
    <w:rsid w:val="00EF5C10"/>
    <w:rsid w:val="00F232BE"/>
    <w:rsid w:val="00F5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7F6C"/>
  <w15:chartTrackingRefBased/>
  <w15:docId w15:val="{B3FDD04F-D6CB-440A-A9B5-4D5160CC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62E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662E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662E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662E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662E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662E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662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62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62E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62E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662E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662E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662E3"/>
    <w:rPr>
      <w:rFonts w:cstheme="majorBidi"/>
      <w:color w:val="2F5496" w:themeColor="accent1" w:themeShade="BF"/>
      <w:sz w:val="28"/>
      <w:szCs w:val="28"/>
    </w:rPr>
  </w:style>
  <w:style w:type="character" w:customStyle="1" w:styleId="50">
    <w:name w:val="标题 5 字符"/>
    <w:basedOn w:val="a0"/>
    <w:link w:val="5"/>
    <w:uiPriority w:val="9"/>
    <w:semiHidden/>
    <w:rsid w:val="00C662E3"/>
    <w:rPr>
      <w:rFonts w:cstheme="majorBidi"/>
      <w:color w:val="2F5496" w:themeColor="accent1" w:themeShade="BF"/>
      <w:sz w:val="24"/>
      <w:szCs w:val="24"/>
    </w:rPr>
  </w:style>
  <w:style w:type="character" w:customStyle="1" w:styleId="60">
    <w:name w:val="标题 6 字符"/>
    <w:basedOn w:val="a0"/>
    <w:link w:val="6"/>
    <w:uiPriority w:val="9"/>
    <w:semiHidden/>
    <w:rsid w:val="00C662E3"/>
    <w:rPr>
      <w:rFonts w:cstheme="majorBidi"/>
      <w:b/>
      <w:bCs/>
      <w:color w:val="2F5496" w:themeColor="accent1" w:themeShade="BF"/>
    </w:rPr>
  </w:style>
  <w:style w:type="character" w:customStyle="1" w:styleId="70">
    <w:name w:val="标题 7 字符"/>
    <w:basedOn w:val="a0"/>
    <w:link w:val="7"/>
    <w:uiPriority w:val="9"/>
    <w:semiHidden/>
    <w:rsid w:val="00C662E3"/>
    <w:rPr>
      <w:rFonts w:cstheme="majorBidi"/>
      <w:b/>
      <w:bCs/>
      <w:color w:val="595959" w:themeColor="text1" w:themeTint="A6"/>
    </w:rPr>
  </w:style>
  <w:style w:type="character" w:customStyle="1" w:styleId="80">
    <w:name w:val="标题 8 字符"/>
    <w:basedOn w:val="a0"/>
    <w:link w:val="8"/>
    <w:uiPriority w:val="9"/>
    <w:semiHidden/>
    <w:rsid w:val="00C662E3"/>
    <w:rPr>
      <w:rFonts w:cstheme="majorBidi"/>
      <w:color w:val="595959" w:themeColor="text1" w:themeTint="A6"/>
    </w:rPr>
  </w:style>
  <w:style w:type="character" w:customStyle="1" w:styleId="90">
    <w:name w:val="标题 9 字符"/>
    <w:basedOn w:val="a0"/>
    <w:link w:val="9"/>
    <w:uiPriority w:val="9"/>
    <w:semiHidden/>
    <w:rsid w:val="00C662E3"/>
    <w:rPr>
      <w:rFonts w:eastAsiaTheme="majorEastAsia" w:cstheme="majorBidi"/>
      <w:color w:val="595959" w:themeColor="text1" w:themeTint="A6"/>
    </w:rPr>
  </w:style>
  <w:style w:type="paragraph" w:styleId="a3">
    <w:name w:val="Title"/>
    <w:basedOn w:val="a"/>
    <w:next w:val="a"/>
    <w:link w:val="a4"/>
    <w:uiPriority w:val="10"/>
    <w:qFormat/>
    <w:rsid w:val="00C662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62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62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62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62E3"/>
    <w:pPr>
      <w:spacing w:before="160" w:after="160"/>
      <w:jc w:val="center"/>
    </w:pPr>
    <w:rPr>
      <w:i/>
      <w:iCs/>
      <w:color w:val="404040" w:themeColor="text1" w:themeTint="BF"/>
    </w:rPr>
  </w:style>
  <w:style w:type="character" w:customStyle="1" w:styleId="a8">
    <w:name w:val="引用 字符"/>
    <w:basedOn w:val="a0"/>
    <w:link w:val="a7"/>
    <w:uiPriority w:val="29"/>
    <w:rsid w:val="00C662E3"/>
    <w:rPr>
      <w:i/>
      <w:iCs/>
      <w:color w:val="404040" w:themeColor="text1" w:themeTint="BF"/>
    </w:rPr>
  </w:style>
  <w:style w:type="paragraph" w:styleId="a9">
    <w:name w:val="List Paragraph"/>
    <w:basedOn w:val="a"/>
    <w:uiPriority w:val="34"/>
    <w:qFormat/>
    <w:rsid w:val="00C662E3"/>
    <w:pPr>
      <w:ind w:left="720"/>
      <w:contextualSpacing/>
    </w:pPr>
  </w:style>
  <w:style w:type="character" w:styleId="aa">
    <w:name w:val="Intense Emphasis"/>
    <w:basedOn w:val="a0"/>
    <w:uiPriority w:val="21"/>
    <w:qFormat/>
    <w:rsid w:val="00C662E3"/>
    <w:rPr>
      <w:i/>
      <w:iCs/>
      <w:color w:val="2F5496" w:themeColor="accent1" w:themeShade="BF"/>
    </w:rPr>
  </w:style>
  <w:style w:type="paragraph" w:styleId="ab">
    <w:name w:val="Intense Quote"/>
    <w:basedOn w:val="a"/>
    <w:next w:val="a"/>
    <w:link w:val="ac"/>
    <w:uiPriority w:val="30"/>
    <w:qFormat/>
    <w:rsid w:val="00C66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662E3"/>
    <w:rPr>
      <w:i/>
      <w:iCs/>
      <w:color w:val="2F5496" w:themeColor="accent1" w:themeShade="BF"/>
    </w:rPr>
  </w:style>
  <w:style w:type="character" w:styleId="ad">
    <w:name w:val="Intense Reference"/>
    <w:basedOn w:val="a0"/>
    <w:uiPriority w:val="32"/>
    <w:qFormat/>
    <w:rsid w:val="00C662E3"/>
    <w:rPr>
      <w:b/>
      <w:bCs/>
      <w:smallCaps/>
      <w:color w:val="2F5496" w:themeColor="accent1" w:themeShade="BF"/>
      <w:spacing w:val="5"/>
    </w:rPr>
  </w:style>
  <w:style w:type="table" w:styleId="ae">
    <w:name w:val="Table Grid"/>
    <w:basedOn w:val="a1"/>
    <w:uiPriority w:val="39"/>
    <w:rsid w:val="008F55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3</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XIONG</dc:creator>
  <cp:keywords/>
  <dc:description/>
  <cp:lastModifiedBy>JIN XIONG</cp:lastModifiedBy>
  <cp:revision>20</cp:revision>
  <dcterms:created xsi:type="dcterms:W3CDTF">2025-03-28T07:07:00Z</dcterms:created>
  <dcterms:modified xsi:type="dcterms:W3CDTF">2025-03-30T05:07:00Z</dcterms:modified>
</cp:coreProperties>
</file>