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D11413" w14:textId="48A47C59" w:rsidR="00F06D5B" w:rsidRPr="000708E7" w:rsidRDefault="00F06D5B" w:rsidP="00F06D5B">
      <w:pPr>
        <w:pStyle w:val="Title"/>
        <w:rPr>
          <w:rFonts w:ascii="Calibri" w:hAnsi="Calibri" w:cs="Calibri"/>
        </w:rPr>
      </w:pPr>
      <w:r w:rsidRPr="000708E7">
        <w:rPr>
          <w:rFonts w:ascii="Calibri" w:hAnsi="Calibri" w:cs="Calibri"/>
        </w:rPr>
        <w:t xml:space="preserve">SVI calibration </w:t>
      </w:r>
    </w:p>
    <w:p w14:paraId="72D16796" w14:textId="77777777" w:rsidR="00F06D5B" w:rsidRPr="000708E7" w:rsidRDefault="00F06D5B" w:rsidP="00F06D5B">
      <w:pPr>
        <w:rPr>
          <w:rFonts w:ascii="Calibri" w:hAnsi="Calibri" w:cs="Calibri"/>
        </w:rPr>
      </w:pPr>
    </w:p>
    <w:p w14:paraId="747A589A" w14:textId="26AAC27A" w:rsidR="00F06D5B" w:rsidRDefault="007B685C" w:rsidP="00F06D5B">
      <w:pPr>
        <w:rPr>
          <w:rFonts w:ascii="Calibri" w:hAnsi="Calibri" w:cs="Calibri"/>
        </w:rPr>
      </w:pPr>
      <w:r w:rsidRPr="007B685C">
        <w:rPr>
          <w:rFonts w:ascii="Calibri" w:hAnsi="Calibri" w:cs="Calibri"/>
        </w:rPr>
        <w:t>In financial modelling, calibration refers to the process of adjusting the parameters of a model so that its outputs match observed market prices as closely as possible</w:t>
      </w:r>
      <w:r>
        <w:rPr>
          <w:rFonts w:ascii="Calibri" w:hAnsi="Calibri" w:cs="Calibri"/>
        </w:rPr>
        <w:t xml:space="preserve">. </w:t>
      </w:r>
      <w:r w:rsidR="00F06D5B" w:rsidRPr="000708E7">
        <w:rPr>
          <w:rFonts w:ascii="Calibri" w:hAnsi="Calibri" w:cs="Calibri"/>
        </w:rPr>
        <w:t>In case of the SVI</w:t>
      </w:r>
      <w:r w:rsidR="004131C1" w:rsidRPr="000708E7">
        <w:rPr>
          <w:rFonts w:ascii="Calibri" w:hAnsi="Calibri" w:cs="Calibri"/>
        </w:rPr>
        <w:t xml:space="preserve"> </w:t>
      </w:r>
      <w:r w:rsidR="00F06D5B" w:rsidRPr="000708E7">
        <w:rPr>
          <w:rFonts w:ascii="Calibri" w:hAnsi="Calibri" w:cs="Calibri"/>
        </w:rPr>
        <w:t xml:space="preserve">model, </w:t>
      </w:r>
      <w:r>
        <w:rPr>
          <w:rFonts w:ascii="Calibri" w:hAnsi="Calibri" w:cs="Calibri"/>
        </w:rPr>
        <w:t>its parameterization is as follows</w:t>
      </w:r>
      <w:r w:rsidR="00F06D5B" w:rsidRPr="000708E7">
        <w:rPr>
          <w:rFonts w:ascii="Calibri" w:hAnsi="Calibri" w:cs="Calibri"/>
        </w:rPr>
        <w:t>:</w:t>
      </w:r>
    </w:p>
    <w:p w14:paraId="7FF38467" w14:textId="69432C22" w:rsidR="007B685C" w:rsidRDefault="007B685C" w:rsidP="008D09E9">
      <w:pPr>
        <w:jc w:val="center"/>
        <w:rPr>
          <w:rFonts w:ascii="Calibri" w:hAnsi="Calibri" w:cs="Calibri"/>
        </w:rPr>
      </w:pPr>
      <m:oMathPara>
        <m:oMath>
          <m:r>
            <m:rPr>
              <m:sty m:val="p"/>
            </m:rPr>
            <w:rPr>
              <w:rFonts w:ascii="Cambria Math" w:hAnsi="Cambria Math" w:cs="Calibri"/>
            </w:rPr>
            <m:t>ω</m:t>
          </m:r>
          <m:d>
            <m:dPr>
              <m:ctrlPr>
                <w:rPr>
                  <w:rFonts w:ascii="Cambria Math" w:hAnsi="Cambria Math" w:cs="Calibri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 w:cs="Calibri"/>
            </w:rPr>
            <m:t>=a+b</m:t>
          </m:r>
          <m:d>
            <m:dPr>
              <m:begChr m:val="{"/>
              <m:endChr m:val="}"/>
              <m:ctrlPr>
                <w:rPr>
                  <w:rFonts w:ascii="Cambria Math" w:hAnsi="Cambria Math" w:cs="Calibri"/>
                </w:rPr>
              </m:ctrlPr>
            </m:dPr>
            <m:e>
              <m:r>
                <w:rPr>
                  <w:rFonts w:ascii="Cambria Math" w:hAnsi="Cambria Math" w:cs="Calibri"/>
                </w:rPr>
                <m:t>ρ</m:t>
              </m:r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k-m</m:t>
                  </m:r>
                </m:e>
              </m:d>
              <m:r>
                <w:rPr>
                  <w:rFonts w:ascii="Cambria Math" w:hAnsi="Cambria Math" w:cs="Calibri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Calibri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</w:rPr>
                            <m:t>k-m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Calibri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alibri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Calibri"/>
                        </w:rPr>
                        <m:t>2</m:t>
                      </m:r>
                    </m:sup>
                  </m:sSup>
                </m:e>
              </m:rad>
            </m:e>
          </m:d>
        </m:oMath>
      </m:oMathPara>
    </w:p>
    <w:p w14:paraId="21463687" w14:textId="744CFD76" w:rsidR="007B685C" w:rsidRPr="000708E7" w:rsidRDefault="007B685C" w:rsidP="00F06D5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where </w:t>
      </w:r>
      <m:oMath>
        <m:r>
          <m:rPr>
            <m:sty m:val="p"/>
          </m:rPr>
          <w:rPr>
            <w:rFonts w:ascii="Cambria Math" w:hAnsi="Cambria Math" w:cs="Calibri"/>
          </w:rPr>
          <m:t>ω</m:t>
        </m:r>
      </m:oMath>
      <w:r>
        <w:rPr>
          <w:rFonts w:ascii="Calibri" w:hAnsi="Calibri" w:cs="Calibri"/>
        </w:rPr>
        <w:t xml:space="preserve"> is the implied total variance and </w:t>
      </w:r>
      <m:oMath>
        <m:r>
          <m:rPr>
            <m:sty m:val="p"/>
          </m:rPr>
          <w:rPr>
            <w:rFonts w:ascii="Cambria Math" w:hAnsi="Cambria Math" w:cs="Calibri"/>
          </w:rPr>
          <m:t>k</m:t>
        </m:r>
      </m:oMath>
      <w:r>
        <w:rPr>
          <w:rFonts w:ascii="Calibri" w:hAnsi="Calibri" w:cs="Calibri"/>
        </w:rPr>
        <w:t xml:space="preserve"> is the log forward moneyness, </w:t>
      </w:r>
      <m:oMath>
        <m:r>
          <m:rPr>
            <m:sty m:val="p"/>
          </m:rPr>
          <w:rPr>
            <w:rFonts w:ascii="Cambria Math" w:hAnsi="Cambria Math" w:cs="Calibri"/>
          </w:rPr>
          <m:t>a, b, ρ,m,σ</m:t>
        </m:r>
      </m:oMath>
      <w:r w:rsidR="008D09E9">
        <w:rPr>
          <w:rFonts w:ascii="Calibri" w:hAnsi="Calibri" w:cs="Calibri"/>
        </w:rPr>
        <w:t xml:space="preserve"> are the five parameters used to fit </w:t>
      </w:r>
      <m:oMath>
        <m:r>
          <m:rPr>
            <m:sty m:val="p"/>
          </m:rPr>
          <w:rPr>
            <w:rFonts w:ascii="Cambria Math" w:hAnsi="Cambria Math" w:cs="Calibri"/>
          </w:rPr>
          <m:t>ω</m:t>
        </m:r>
      </m:oMath>
      <w:r w:rsidR="008D09E9">
        <w:rPr>
          <w:rFonts w:ascii="Calibri" w:hAnsi="Calibri" w:cs="Calibri"/>
        </w:rPr>
        <w:t xml:space="preserve"> on a given expiry for any </w:t>
      </w:r>
      <m:oMath>
        <m:r>
          <m:rPr>
            <m:sty m:val="p"/>
          </m:rPr>
          <w:rPr>
            <w:rFonts w:ascii="Cambria Math" w:hAnsi="Cambria Math" w:cs="Calibri"/>
          </w:rPr>
          <m:t>k</m:t>
        </m:r>
      </m:oMath>
      <w:r w:rsidR="008D09E9">
        <w:rPr>
          <w:rFonts w:ascii="Calibri" w:hAnsi="Calibri" w:cs="Calibri"/>
        </w:rPr>
        <w:t>. For more details, r</w:t>
      </w:r>
      <w:r w:rsidR="008D09E9" w:rsidRPr="000708E7">
        <w:rPr>
          <w:rFonts w:ascii="Calibri" w:hAnsi="Calibri" w:cs="Calibri"/>
        </w:rPr>
        <w:t>efer to the</w:t>
      </w:r>
      <w:r w:rsidR="008D09E9">
        <w:rPr>
          <w:rFonts w:ascii="Calibri" w:hAnsi="Calibri" w:cs="Calibri"/>
        </w:rPr>
        <w:t xml:space="preserve"> seminal paper on</w:t>
      </w:r>
      <w:r w:rsidR="008D09E9" w:rsidRPr="000708E7">
        <w:rPr>
          <w:rFonts w:ascii="Calibri" w:hAnsi="Calibri" w:cs="Calibri"/>
        </w:rPr>
        <w:t xml:space="preserve"> SVI model, </w:t>
      </w:r>
      <w:proofErr w:type="spellStart"/>
      <w:r w:rsidR="008D09E9" w:rsidRPr="00CA1EEA">
        <w:rPr>
          <w:rFonts w:ascii="Calibri" w:hAnsi="Calibri" w:cs="Calibri"/>
          <w:i/>
        </w:rPr>
        <w:t>Gatheral</w:t>
      </w:r>
      <w:proofErr w:type="spellEnd"/>
      <w:r w:rsidR="008D09E9" w:rsidRPr="00CA1EEA">
        <w:rPr>
          <w:rFonts w:ascii="Calibri" w:hAnsi="Calibri" w:cs="Calibri"/>
          <w:i/>
        </w:rPr>
        <w:t xml:space="preserve">, Jim, and Antoine </w:t>
      </w:r>
      <w:proofErr w:type="spellStart"/>
      <w:r w:rsidR="008D09E9" w:rsidRPr="00CA1EEA">
        <w:rPr>
          <w:rFonts w:ascii="Calibri" w:hAnsi="Calibri" w:cs="Calibri"/>
          <w:i/>
        </w:rPr>
        <w:t>Jacquier</w:t>
      </w:r>
      <w:proofErr w:type="spellEnd"/>
      <w:r w:rsidR="008D09E9" w:rsidRPr="00CA1EEA">
        <w:rPr>
          <w:rFonts w:ascii="Calibri" w:hAnsi="Calibri" w:cs="Calibri"/>
          <w:i/>
        </w:rPr>
        <w:t>. "Arbitrage-free SVI volatility surfaces." </w:t>
      </w:r>
      <w:r w:rsidR="008D09E9" w:rsidRPr="00CA1EEA">
        <w:rPr>
          <w:rFonts w:ascii="Calibri" w:hAnsi="Calibri" w:cs="Calibri"/>
          <w:i/>
          <w:iCs/>
        </w:rPr>
        <w:t>Quantitative Finance</w:t>
      </w:r>
      <w:r w:rsidR="008D09E9" w:rsidRPr="00CA1EEA">
        <w:rPr>
          <w:rFonts w:ascii="Calibri" w:hAnsi="Calibri" w:cs="Calibri"/>
          <w:i/>
        </w:rPr>
        <w:t> 14.1 (2014): 59-71.</w:t>
      </w:r>
    </w:p>
    <w:p w14:paraId="2A2154B5" w14:textId="77777777" w:rsidR="00BD7B20" w:rsidRPr="000708E7" w:rsidRDefault="00BD7B20" w:rsidP="00BD7B20">
      <w:pPr>
        <w:rPr>
          <w:rFonts w:ascii="Calibri" w:hAnsi="Calibri" w:cs="Calibri"/>
        </w:rPr>
      </w:pPr>
    </w:p>
    <w:p w14:paraId="7AF1CBE4" w14:textId="3BF5136F" w:rsidR="003F16E3" w:rsidRPr="000708E7" w:rsidRDefault="00BD7B20" w:rsidP="00BD7B20">
      <w:pPr>
        <w:rPr>
          <w:rFonts w:ascii="Calibri" w:hAnsi="Calibri" w:cs="Calibri"/>
        </w:rPr>
      </w:pPr>
      <w:r w:rsidRPr="000708E7">
        <w:rPr>
          <w:rFonts w:ascii="Calibri" w:hAnsi="Calibri" w:cs="Calibri"/>
        </w:rPr>
        <w:t xml:space="preserve">1). </w:t>
      </w:r>
      <w:r w:rsidR="00CA1EEA">
        <w:rPr>
          <w:rFonts w:ascii="Calibri" w:hAnsi="Calibri" w:cs="Calibri"/>
        </w:rPr>
        <w:t>Write an</w:t>
      </w:r>
      <w:r w:rsidR="005E32A8">
        <w:rPr>
          <w:rFonts w:ascii="Calibri" w:hAnsi="Calibri" w:cs="Calibri"/>
        </w:rPr>
        <w:t xml:space="preserve"> </w:t>
      </w:r>
      <w:r w:rsidR="00D36066" w:rsidRPr="000708E7">
        <w:rPr>
          <w:rFonts w:ascii="Calibri" w:hAnsi="Calibri" w:cs="Calibri"/>
        </w:rPr>
        <w:t xml:space="preserve">SVI calibrator </w:t>
      </w:r>
      <w:r w:rsidR="00D36066" w:rsidRPr="000708E7">
        <w:rPr>
          <w:rFonts w:ascii="Calibri" w:hAnsi="Calibri" w:cs="Calibri"/>
        </w:rPr>
        <w:br/>
      </w:r>
      <w:r w:rsidR="00E862CD" w:rsidRPr="00E862CD">
        <w:rPr>
          <w:rFonts w:ascii="Calibri" w:hAnsi="Calibri" w:cs="Calibri"/>
        </w:rPr>
        <w:t xml:space="preserve">Develop an SVI calibrator to solve for the SVI parameters against the points on an implied volatility smile. To help you get started, we have provided sample code in demo_svi_calibrator.txt (some modifications are needed to get it running). Alternatively, you </w:t>
      </w:r>
      <w:r w:rsidR="005926A8">
        <w:rPr>
          <w:rFonts w:ascii="Calibri" w:hAnsi="Calibri" w:cs="Calibri"/>
        </w:rPr>
        <w:t>may</w:t>
      </w:r>
      <w:r w:rsidR="00E862CD" w:rsidRPr="00E862CD">
        <w:rPr>
          <w:rFonts w:ascii="Calibri" w:hAnsi="Calibri" w:cs="Calibri"/>
        </w:rPr>
        <w:t xml:space="preserve"> find sample code on</w:t>
      </w:r>
      <w:r w:rsidR="00E862CD">
        <w:rPr>
          <w:rFonts w:ascii="Calibri" w:hAnsi="Calibri" w:cs="Calibri"/>
        </w:rPr>
        <w:t xml:space="preserve"> </w:t>
      </w:r>
      <w:hyperlink r:id="rId4" w:history="1">
        <w:proofErr w:type="spellStart"/>
        <w:r w:rsidR="000708E7" w:rsidRPr="00E862CD">
          <w:rPr>
            <w:rStyle w:val="Hyperlink"/>
            <w:rFonts w:ascii="Calibri" w:hAnsi="Calibri" w:cs="Calibri"/>
          </w:rPr>
          <w:t>gith</w:t>
        </w:r>
        <w:r w:rsidR="000708E7" w:rsidRPr="00E862CD">
          <w:rPr>
            <w:rStyle w:val="Hyperlink"/>
            <w:rFonts w:ascii="Calibri" w:hAnsi="Calibri" w:cs="Calibri"/>
          </w:rPr>
          <w:t>u</w:t>
        </w:r>
        <w:r w:rsidR="000708E7" w:rsidRPr="00E862CD">
          <w:rPr>
            <w:rStyle w:val="Hyperlink"/>
            <w:rFonts w:ascii="Calibri" w:hAnsi="Calibri" w:cs="Calibri"/>
          </w:rPr>
          <w:t>b</w:t>
        </w:r>
        <w:proofErr w:type="spellEnd"/>
      </w:hyperlink>
      <w:r w:rsidR="003F16E3" w:rsidRPr="000708E7">
        <w:rPr>
          <w:rFonts w:ascii="Calibri" w:hAnsi="Calibri" w:cs="Calibri"/>
        </w:rPr>
        <w:t xml:space="preserve">, </w:t>
      </w:r>
      <w:r w:rsidR="003F16E3" w:rsidRPr="000708E7">
        <w:rPr>
          <w:rFonts w:ascii="Calibri" w:hAnsi="Calibri" w:cs="Calibri"/>
        </w:rPr>
        <w:br/>
      </w:r>
    </w:p>
    <w:p w14:paraId="723F8FEF" w14:textId="1AE1805E" w:rsidR="005926A8" w:rsidRDefault="00C25F0A" w:rsidP="00BD7B20">
      <w:pPr>
        <w:rPr>
          <w:rFonts w:ascii="Calibri" w:hAnsi="Calibri" w:cs="Calibri"/>
        </w:rPr>
      </w:pPr>
      <w:r w:rsidRPr="000708E7">
        <w:rPr>
          <w:rFonts w:ascii="Calibri" w:hAnsi="Calibri" w:cs="Calibri"/>
        </w:rPr>
        <w:t>2). Propose quantitative measure</w:t>
      </w:r>
      <w:r w:rsidR="005926A8">
        <w:rPr>
          <w:rFonts w:ascii="Calibri" w:hAnsi="Calibri" w:cs="Calibri"/>
        </w:rPr>
        <w:t>s</w:t>
      </w:r>
      <w:r w:rsidRPr="000708E7">
        <w:rPr>
          <w:rFonts w:ascii="Calibri" w:hAnsi="Calibri" w:cs="Calibri"/>
        </w:rPr>
        <w:t xml:space="preserve"> to </w:t>
      </w:r>
      <w:r w:rsidR="00E862CD">
        <w:rPr>
          <w:rFonts w:ascii="Calibri" w:hAnsi="Calibri" w:cs="Calibri"/>
        </w:rPr>
        <w:t>evaluate</w:t>
      </w:r>
      <w:r w:rsidRPr="000708E7">
        <w:rPr>
          <w:rFonts w:ascii="Calibri" w:hAnsi="Calibri" w:cs="Calibri"/>
        </w:rPr>
        <w:t xml:space="preserve"> </w:t>
      </w:r>
      <w:r w:rsidR="00E862CD">
        <w:rPr>
          <w:rFonts w:ascii="Calibri" w:hAnsi="Calibri" w:cs="Calibri"/>
        </w:rPr>
        <w:t>the quality of</w:t>
      </w:r>
      <w:r w:rsidRPr="000708E7">
        <w:rPr>
          <w:rFonts w:ascii="Calibri" w:hAnsi="Calibri" w:cs="Calibri"/>
        </w:rPr>
        <w:t xml:space="preserve"> </w:t>
      </w:r>
      <w:r w:rsidR="00E862CD">
        <w:rPr>
          <w:rFonts w:ascii="Calibri" w:hAnsi="Calibri" w:cs="Calibri"/>
        </w:rPr>
        <w:t xml:space="preserve">the </w:t>
      </w:r>
      <w:r w:rsidR="005926A8">
        <w:rPr>
          <w:rFonts w:ascii="Calibri" w:hAnsi="Calibri" w:cs="Calibri"/>
        </w:rPr>
        <w:t>calibrator</w:t>
      </w:r>
    </w:p>
    <w:p w14:paraId="6622AA2F" w14:textId="0745C7B2" w:rsidR="005E32A8" w:rsidRDefault="00E862CD" w:rsidP="00BD7B2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</w:t>
      </w:r>
      <w:r w:rsidR="005926A8">
        <w:rPr>
          <w:rFonts w:ascii="Calibri" w:hAnsi="Calibri" w:cs="Calibri"/>
        </w:rPr>
        <w:t>calibrator</w:t>
      </w:r>
      <w:r>
        <w:rPr>
          <w:rFonts w:ascii="Calibri" w:hAnsi="Calibri" w:cs="Calibri"/>
        </w:rPr>
        <w:t xml:space="preserve"> in 1) may be able to find the SVI parameters such that the “calibration” error is minimized. </w:t>
      </w:r>
      <w:r w:rsidR="005926A8" w:rsidRPr="005926A8">
        <w:rPr>
          <w:rFonts w:ascii="Calibri" w:hAnsi="Calibri" w:cs="Calibri"/>
        </w:rPr>
        <w:t>However, this does not guarantee a satisfactory calibration result. For example, matching an outlier might compromise the fit of the entire curve, and matching the wings might trade off against accurately fitting the near-the-money points</w:t>
      </w:r>
    </w:p>
    <w:p w14:paraId="2FE43461" w14:textId="77777777" w:rsidR="00E862CD" w:rsidRPr="000708E7" w:rsidRDefault="00E862CD" w:rsidP="00BD7B20">
      <w:pPr>
        <w:rPr>
          <w:rFonts w:ascii="Calibri" w:hAnsi="Calibri" w:cs="Calibri"/>
        </w:rPr>
      </w:pPr>
    </w:p>
    <w:p w14:paraId="4D214585" w14:textId="7C22438C" w:rsidR="0042628E" w:rsidRPr="000708E7" w:rsidRDefault="00D36066" w:rsidP="00BD7B20">
      <w:pPr>
        <w:rPr>
          <w:rFonts w:ascii="Calibri" w:hAnsi="Calibri" w:cs="Calibri"/>
        </w:rPr>
      </w:pPr>
      <w:r w:rsidRPr="000708E7">
        <w:rPr>
          <w:rFonts w:ascii="Calibri" w:hAnsi="Calibri" w:cs="Calibri"/>
        </w:rPr>
        <w:t>3</w:t>
      </w:r>
      <w:r w:rsidR="0042628E" w:rsidRPr="000708E7">
        <w:rPr>
          <w:rFonts w:ascii="Calibri" w:hAnsi="Calibri" w:cs="Calibri"/>
        </w:rPr>
        <w:t xml:space="preserve">). </w:t>
      </w:r>
      <w:r w:rsidR="00C25F0A" w:rsidRPr="000708E7">
        <w:rPr>
          <w:rFonts w:ascii="Calibri" w:hAnsi="Calibri" w:cs="Calibri"/>
        </w:rPr>
        <w:t>S</w:t>
      </w:r>
      <w:r w:rsidR="0042628E" w:rsidRPr="000708E7">
        <w:rPr>
          <w:rFonts w:ascii="Calibri" w:hAnsi="Calibri" w:cs="Calibri"/>
        </w:rPr>
        <w:t xml:space="preserve">tress </w:t>
      </w:r>
      <w:r w:rsidR="005926A8">
        <w:rPr>
          <w:rFonts w:ascii="Calibri" w:hAnsi="Calibri" w:cs="Calibri"/>
        </w:rPr>
        <w:t>data</w:t>
      </w:r>
      <w:r w:rsidR="0042628E" w:rsidRPr="000708E7">
        <w:rPr>
          <w:rFonts w:ascii="Calibri" w:hAnsi="Calibri" w:cs="Calibri"/>
        </w:rPr>
        <w:t xml:space="preserve"> test, 2025-04-08, AAPL.US</w:t>
      </w:r>
      <w:r w:rsidR="00C25F0A" w:rsidRPr="000708E7">
        <w:rPr>
          <w:rFonts w:ascii="Calibri" w:hAnsi="Calibri" w:cs="Calibri"/>
        </w:rPr>
        <w:br/>
      </w:r>
      <w:r w:rsidR="00E862CD" w:rsidRPr="00E862CD">
        <w:rPr>
          <w:rFonts w:ascii="Calibri" w:hAnsi="Calibri" w:cs="Calibri"/>
        </w:rPr>
        <w:t>On a typical market turmoil selloff day, where the market trades towards the put wings (downward skewing), verify if the calibrator in 1</w:t>
      </w:r>
      <w:r w:rsidR="005926A8">
        <w:rPr>
          <w:rFonts w:ascii="Calibri" w:hAnsi="Calibri" w:cs="Calibri"/>
        </w:rPr>
        <w:t>)</w:t>
      </w:r>
      <w:r w:rsidR="00E862CD" w:rsidRPr="00E862CD">
        <w:rPr>
          <w:rFonts w:ascii="Calibri" w:hAnsi="Calibri" w:cs="Calibri"/>
        </w:rPr>
        <w:t xml:space="preserve"> can handle this scenario correctly. For example, ensure it does not result in negative volatilities in the right asymptote</w:t>
      </w:r>
      <w:r w:rsidR="00E862CD">
        <w:rPr>
          <w:rFonts w:ascii="Calibri" w:hAnsi="Calibri" w:cs="Calibri"/>
        </w:rPr>
        <w:t>.</w:t>
      </w:r>
      <w:r w:rsidR="00C25F0A" w:rsidRPr="000708E7">
        <w:rPr>
          <w:rFonts w:ascii="Calibri" w:hAnsi="Calibri" w:cs="Calibri"/>
        </w:rPr>
        <w:br/>
      </w:r>
      <w:r w:rsidR="00C25F0A" w:rsidRPr="000708E7">
        <w:rPr>
          <w:rFonts w:ascii="Calibri" w:hAnsi="Calibri" w:cs="Calibri"/>
        </w:rPr>
        <w:lastRenderedPageBreak/>
        <w:br/>
      </w:r>
      <w:r w:rsidR="00C25F0A" w:rsidRPr="000708E7">
        <w:rPr>
          <w:rFonts w:ascii="Calibri" w:hAnsi="Calibri" w:cs="Calibri"/>
          <w:noProof/>
        </w:rPr>
        <w:drawing>
          <wp:inline distT="0" distB="0" distL="0" distR="0" wp14:anchorId="35FD83AA" wp14:editId="1019708A">
            <wp:extent cx="5325035" cy="2093259"/>
            <wp:effectExtent l="0" t="0" r="9525" b="2540"/>
            <wp:docPr id="190799592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0AB5FB5-0D2E-B8A4-9064-E792F3CAD73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656D586" w14:textId="77777777" w:rsidR="005E32A8" w:rsidRDefault="005E32A8">
      <w:pPr>
        <w:rPr>
          <w:rFonts w:ascii="Calibri" w:hAnsi="Calibri" w:cs="Calibri"/>
        </w:rPr>
      </w:pPr>
    </w:p>
    <w:p w14:paraId="7810C763" w14:textId="5AAF998D" w:rsidR="00C25F0A" w:rsidRPr="000708E7" w:rsidRDefault="00D36066">
      <w:pPr>
        <w:rPr>
          <w:rFonts w:ascii="Calibri" w:hAnsi="Calibri" w:cs="Calibri"/>
        </w:rPr>
      </w:pPr>
      <w:r w:rsidRPr="000708E7">
        <w:rPr>
          <w:rFonts w:ascii="Calibri" w:hAnsi="Calibri" w:cs="Calibri"/>
        </w:rPr>
        <w:t>4</w:t>
      </w:r>
      <w:r w:rsidR="00C25F0A" w:rsidRPr="000708E7">
        <w:rPr>
          <w:rFonts w:ascii="Calibri" w:hAnsi="Calibri" w:cs="Calibri"/>
        </w:rPr>
        <w:t xml:space="preserve">). </w:t>
      </w:r>
      <w:r w:rsidR="00E862CD">
        <w:rPr>
          <w:rFonts w:ascii="Calibri" w:hAnsi="Calibri" w:cs="Calibri"/>
        </w:rPr>
        <w:t>D</w:t>
      </w:r>
      <w:r w:rsidR="00C25F0A" w:rsidRPr="000708E7">
        <w:rPr>
          <w:rFonts w:ascii="Calibri" w:hAnsi="Calibri" w:cs="Calibri"/>
        </w:rPr>
        <w:t>ay to day</w:t>
      </w:r>
      <w:r w:rsidR="005926A8">
        <w:rPr>
          <w:rFonts w:ascii="Calibri" w:hAnsi="Calibri" w:cs="Calibri"/>
        </w:rPr>
        <w:t xml:space="preserve"> parameter</w:t>
      </w:r>
      <w:bookmarkStart w:id="0" w:name="_GoBack"/>
      <w:bookmarkEnd w:id="0"/>
      <w:r w:rsidR="00C25F0A" w:rsidRPr="000708E7">
        <w:rPr>
          <w:rFonts w:ascii="Calibri" w:hAnsi="Calibri" w:cs="Calibri"/>
        </w:rPr>
        <w:t xml:space="preserve"> stability</w:t>
      </w:r>
      <w:r w:rsidR="00C25F0A" w:rsidRPr="000708E7">
        <w:rPr>
          <w:rFonts w:ascii="Calibri" w:hAnsi="Calibri" w:cs="Calibri"/>
        </w:rPr>
        <w:br/>
      </w:r>
      <w:r w:rsidR="00E862CD" w:rsidRPr="005926A8">
        <w:rPr>
          <w:rFonts w:ascii="Calibri" w:hAnsi="Calibri" w:cs="Calibri"/>
        </w:rPr>
        <w:t>Utilize real data</w:t>
      </w:r>
      <w:r w:rsidR="005926A8">
        <w:rPr>
          <w:rFonts w:ascii="Calibri" w:hAnsi="Calibri" w:cs="Calibri"/>
        </w:rPr>
        <w:t xml:space="preserve"> in data set folder </w:t>
      </w:r>
      <w:r w:rsidR="00E862CD" w:rsidRPr="005926A8">
        <w:rPr>
          <w:rFonts w:ascii="Calibri" w:hAnsi="Calibri" w:cs="Calibri"/>
        </w:rPr>
        <w:t>to test the day-to-day stability of the calibrator</w:t>
      </w:r>
      <w:r w:rsidR="005926A8">
        <w:rPr>
          <w:rFonts w:ascii="Calibri" w:hAnsi="Calibri" w:cs="Calibri"/>
        </w:rPr>
        <w:t xml:space="preserve"> in</w:t>
      </w:r>
      <w:r w:rsidR="00E862CD" w:rsidRPr="005926A8">
        <w:rPr>
          <w:rFonts w:ascii="Calibri" w:hAnsi="Calibri" w:cs="Calibri"/>
        </w:rPr>
        <w:t xml:space="preserve"> 1</w:t>
      </w:r>
      <w:r w:rsidR="005926A8" w:rsidRPr="005926A8">
        <w:rPr>
          <w:rFonts w:ascii="Calibri" w:hAnsi="Calibri" w:cs="Calibri"/>
        </w:rPr>
        <w:t>)</w:t>
      </w:r>
      <w:r w:rsidR="00E862CD" w:rsidRPr="005926A8">
        <w:rPr>
          <w:rFonts w:ascii="Calibri" w:hAnsi="Calibri" w:cs="Calibri"/>
        </w:rPr>
        <w:t xml:space="preserve">. Quantify the stability measure and propose improvement methods if it does not perform well. For example, refer to the paper by </w:t>
      </w:r>
      <w:proofErr w:type="spellStart"/>
      <w:r w:rsidR="00E862CD" w:rsidRPr="005926A8">
        <w:rPr>
          <w:rFonts w:ascii="Calibri" w:hAnsi="Calibri" w:cs="Calibri"/>
          <w:i/>
        </w:rPr>
        <w:t>Ferhati</w:t>
      </w:r>
      <w:proofErr w:type="spellEnd"/>
      <w:r w:rsidR="00E862CD" w:rsidRPr="005926A8">
        <w:rPr>
          <w:rFonts w:ascii="Calibri" w:hAnsi="Calibri" w:cs="Calibri"/>
          <w:i/>
        </w:rPr>
        <w:t xml:space="preserve">, </w:t>
      </w:r>
      <w:proofErr w:type="spellStart"/>
      <w:r w:rsidR="00E862CD" w:rsidRPr="005926A8">
        <w:rPr>
          <w:rFonts w:ascii="Calibri" w:hAnsi="Calibri" w:cs="Calibri"/>
          <w:i/>
        </w:rPr>
        <w:t>Tahar</w:t>
      </w:r>
      <w:proofErr w:type="spellEnd"/>
      <w:r w:rsidR="00E862CD" w:rsidRPr="005926A8">
        <w:rPr>
          <w:rFonts w:ascii="Calibri" w:hAnsi="Calibri" w:cs="Calibri"/>
          <w:i/>
        </w:rPr>
        <w:t>, titled 'Robust Calibration for SVI Model Arbitrage Free,' available at SSRN 3543766 (2020), for guidance on setting appropriate parameter boundaries for the SVI-Quasi-explicit calibrator."</w:t>
      </w:r>
      <w:r w:rsidRPr="000708E7">
        <w:rPr>
          <w:rFonts w:ascii="Calibri" w:hAnsi="Calibri" w:cs="Calibri"/>
        </w:rPr>
        <w:br/>
      </w:r>
    </w:p>
    <w:sectPr w:rsidR="00C25F0A" w:rsidRPr="00070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D5B"/>
    <w:rsid w:val="000708E7"/>
    <w:rsid w:val="003F16E3"/>
    <w:rsid w:val="004131C1"/>
    <w:rsid w:val="0042628E"/>
    <w:rsid w:val="00433FC5"/>
    <w:rsid w:val="005926A8"/>
    <w:rsid w:val="005E32A8"/>
    <w:rsid w:val="0069291D"/>
    <w:rsid w:val="007B685C"/>
    <w:rsid w:val="008D09E9"/>
    <w:rsid w:val="00BD7B20"/>
    <w:rsid w:val="00C25F0A"/>
    <w:rsid w:val="00CA1EEA"/>
    <w:rsid w:val="00D36066"/>
    <w:rsid w:val="00E862CD"/>
    <w:rsid w:val="00F06D5B"/>
    <w:rsid w:val="00FC0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5E7D99"/>
  <w15:chartTrackingRefBased/>
  <w15:docId w15:val="{DFF4E9D0-4288-49FC-8FCD-41CDE0AEF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6D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6D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6D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6D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6D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6D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6D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6D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6D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D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6D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6D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6D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6D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6D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6D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6D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6D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6D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6D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6D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6D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6D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6D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6D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6D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6D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6D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6D5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F16E3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F16E3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B685C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E862C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hyperlink" Target="https://github.com/wangys96/SVI-Volatility-Surface-Calibration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hangjao\Documents\Tech%20Docs\ProjectsDocs\Vol%20Project\2025GradProgramTestKit\dataset\nvda_2025-04-08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gridvol!$A$2</c:f>
              <c:strCache>
                <c:ptCount val="1"/>
                <c:pt idx="0">
                  <c:v>2025-04-11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gridvol!$B$1:$W$1</c:f>
              <c:numCache>
                <c:formatCode>General</c:formatCode>
                <c:ptCount val="22"/>
                <c:pt idx="0">
                  <c:v>110</c:v>
                </c:pt>
                <c:pt idx="1">
                  <c:v>115</c:v>
                </c:pt>
                <c:pt idx="2">
                  <c:v>117</c:v>
                </c:pt>
                <c:pt idx="3">
                  <c:v>120</c:v>
                </c:pt>
                <c:pt idx="4">
                  <c:v>125</c:v>
                </c:pt>
                <c:pt idx="5">
                  <c:v>130</c:v>
                </c:pt>
                <c:pt idx="6">
                  <c:v>135</c:v>
                </c:pt>
                <c:pt idx="7">
                  <c:v>140</c:v>
                </c:pt>
                <c:pt idx="8">
                  <c:v>145</c:v>
                </c:pt>
                <c:pt idx="9">
                  <c:v>150</c:v>
                </c:pt>
                <c:pt idx="10">
                  <c:v>155</c:v>
                </c:pt>
                <c:pt idx="11">
                  <c:v>160</c:v>
                </c:pt>
                <c:pt idx="12">
                  <c:v>165</c:v>
                </c:pt>
                <c:pt idx="13">
                  <c:v>170</c:v>
                </c:pt>
                <c:pt idx="14">
                  <c:v>175</c:v>
                </c:pt>
                <c:pt idx="15">
                  <c:v>177.5</c:v>
                </c:pt>
                <c:pt idx="16">
                  <c:v>180</c:v>
                </c:pt>
                <c:pt idx="17">
                  <c:v>182.5</c:v>
                </c:pt>
                <c:pt idx="18">
                  <c:v>185</c:v>
                </c:pt>
                <c:pt idx="19">
                  <c:v>192.5</c:v>
                </c:pt>
                <c:pt idx="20">
                  <c:v>195</c:v>
                </c:pt>
                <c:pt idx="21">
                  <c:v>210</c:v>
                </c:pt>
              </c:numCache>
            </c:numRef>
          </c:xVal>
          <c:yVal>
            <c:numRef>
              <c:f>gridvol!$B$2:$W$2</c:f>
              <c:numCache>
                <c:formatCode>General</c:formatCode>
                <c:ptCount val="22"/>
                <c:pt idx="2">
                  <c:v>1.923259695004927</c:v>
                </c:pt>
                <c:pt idx="6">
                  <c:v>1.625975583546496</c:v>
                </c:pt>
                <c:pt idx="10">
                  <c:v>1.2802500936088179</c:v>
                </c:pt>
                <c:pt idx="13">
                  <c:v>1.0808269845098639</c:v>
                </c:pt>
                <c:pt idx="14">
                  <c:v>1.019383418499709</c:v>
                </c:pt>
                <c:pt idx="15">
                  <c:v>0.98563970138892376</c:v>
                </c:pt>
                <c:pt idx="16">
                  <c:v>0.95916789420894588</c:v>
                </c:pt>
                <c:pt idx="17">
                  <c:v>0.92338818582962034</c:v>
                </c:pt>
                <c:pt idx="19">
                  <c:v>0.85106464604633036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096-4B40-92C8-4D39DD982C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24718272"/>
        <c:axId val="1224722112"/>
      </c:scatterChart>
      <c:valAx>
        <c:axId val="1224718272"/>
        <c:scaling>
          <c:orientation val="minMax"/>
          <c:max val="200"/>
          <c:min val="1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24722112"/>
        <c:crosses val="autoZero"/>
        <c:crossBetween val="midCat"/>
      </c:valAx>
      <c:valAx>
        <c:axId val="1224722112"/>
        <c:scaling>
          <c:orientation val="minMax"/>
          <c:min val="0.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247182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CLSA</Company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Zhang, CITIC CLSA</dc:creator>
  <cp:keywords/>
  <dc:description/>
  <cp:lastModifiedBy>Richard Li, CITIC CLSA</cp:lastModifiedBy>
  <cp:revision>4</cp:revision>
  <dcterms:created xsi:type="dcterms:W3CDTF">2025-05-06T05:49:00Z</dcterms:created>
  <dcterms:modified xsi:type="dcterms:W3CDTF">2025-05-06T10:29:00Z</dcterms:modified>
</cp:coreProperties>
</file>