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Pr="005F130A">
        <w:rPr>
          <w:rFonts w:eastAsia="Times New Roman"/>
          <w:color w:val="000000"/>
          <w:sz w:val="22"/>
          <w:szCs w:val="22"/>
        </w:rPr>
        <w:t xml:space="preserve"> | Berkeley,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442013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Spring 2016 Courses: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Architecture, Econometric Analysis</w:t>
      </w:r>
    </w:p>
    <w:p w:rsidR="006870E7" w:rsidRDefault="00EE4B15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Past </w:t>
      </w:r>
      <w:r w:rsidR="00184C4A" w:rsidRPr="00184C4A">
        <w:rPr>
          <w:rFonts w:eastAsia="Times New Roman"/>
          <w:color w:val="000000"/>
          <w:sz w:val="20"/>
          <w:szCs w:val="20"/>
        </w:rPr>
        <w:t>Courses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>
        <w:rPr>
          <w:rFonts w:eastAsia="Times New Roman"/>
          <w:i/>
          <w:color w:val="000000"/>
          <w:sz w:val="20"/>
          <w:szCs w:val="20"/>
        </w:rPr>
        <w:t>ns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BA099C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8135B7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 w:rsidR="00F31981">
        <w:rPr>
          <w:rFonts w:eastAsia="Times New Roman"/>
          <w:color w:val="000000"/>
          <w:sz w:val="20"/>
          <w:szCs w:val="20"/>
        </w:rPr>
        <w:t>for “Snap!</w:t>
      </w:r>
      <w:proofErr w:type="gramStart"/>
      <w:r w:rsidR="00F31981">
        <w:rPr>
          <w:rFonts w:eastAsia="Times New Roman"/>
          <w:color w:val="000000"/>
          <w:sz w:val="20"/>
          <w:szCs w:val="20"/>
        </w:rPr>
        <w:t>”,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a visual drag-and-drop programming languag</w:t>
      </w:r>
      <w:r w:rsidR="00442013">
        <w:rPr>
          <w:rFonts w:eastAsia="Times New Roman"/>
          <w:color w:val="000000"/>
          <w:sz w:val="20"/>
          <w:szCs w:val="20"/>
        </w:rPr>
        <w:t>e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(12,000+ students)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computer science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them in completing programming lab exercises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442013" w:rsidRP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42013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3A76F3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222B95">
        <w:rPr>
          <w:rFonts w:eastAsia="Times New Roman"/>
          <w:color w:val="000000"/>
          <w:sz w:val="20"/>
          <w:szCs w:val="20"/>
        </w:rPr>
        <w:t xml:space="preserve"> two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national student conferences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political interns.</w:t>
      </w:r>
    </w:p>
    <w:p w:rsidR="006E0E14" w:rsidRDefault="004244C3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6E0E14">
        <w:rPr>
          <w:rFonts w:eastAsia="Times New Roman"/>
          <w:color w:val="000000"/>
          <w:sz w:val="20"/>
          <w:szCs w:val="20"/>
        </w:rPr>
        <w:t xml:space="preserve">Met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9F5866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 and </w:t>
      </w:r>
      <w:r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community outreach </w:t>
      </w:r>
      <w:r>
        <w:rPr>
          <w:rFonts w:eastAsia="Times New Roman"/>
          <w:color w:val="000000"/>
          <w:sz w:val="20"/>
          <w:szCs w:val="20"/>
        </w:rPr>
        <w:t>through</w:t>
      </w:r>
      <w:r w:rsidR="00DE23F6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6E0E14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6E0E14">
        <w:rPr>
          <w:rFonts w:eastAsia="Times New Roman"/>
          <w:color w:val="000000"/>
          <w:sz w:val="20"/>
          <w:szCs w:val="20"/>
        </w:rPr>
        <w:t>.</w:t>
      </w:r>
    </w:p>
    <w:p w:rsidR="009F5866" w:rsidRPr="009F5866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F5866">
        <w:rPr>
          <w:rFonts w:eastAsia="Times New Roman"/>
          <w:color w:val="000000"/>
          <w:sz w:val="20"/>
          <w:szCs w:val="20"/>
        </w:rPr>
        <w:t xml:space="preserve">Prior experience: Bay Area Student Delegate at Policy Conference 2014 &amp; 2015, Northern California Summit 2013, </w:t>
      </w:r>
      <w:proofErr w:type="spellStart"/>
      <w:r w:rsidRPr="009F5866">
        <w:rPr>
          <w:rFonts w:eastAsia="Times New Roman"/>
          <w:color w:val="000000"/>
          <w:sz w:val="20"/>
          <w:szCs w:val="20"/>
        </w:rPr>
        <w:t>Schustermann</w:t>
      </w:r>
      <w:proofErr w:type="spellEnd"/>
      <w:r w:rsidRPr="009F5866">
        <w:rPr>
          <w:rFonts w:eastAsia="Times New Roman"/>
          <w:color w:val="000000"/>
          <w:sz w:val="20"/>
          <w:szCs w:val="20"/>
        </w:rPr>
        <w:t xml:space="preserve"> Advocacy Institute High School Summit 2011.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providing practice problems, creating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C25472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Designed the user</w:t>
      </w:r>
      <w:r w:rsidR="004A750A">
        <w:rPr>
          <w:rFonts w:eastAsia="Times New Roman"/>
          <w:color w:val="000000"/>
          <w:sz w:val="20"/>
          <w:szCs w:val="20"/>
        </w:rPr>
        <w:t xml:space="preserve"> </w:t>
      </w:r>
      <w:r w:rsidRPr="005F130A">
        <w:rPr>
          <w:rFonts w:eastAsia="Times New Roman"/>
          <w:color w:val="000000"/>
          <w:sz w:val="20"/>
          <w:szCs w:val="20"/>
        </w:rPr>
        <w:t>interface for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healthcare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6208F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5F130A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Participated in</w:t>
      </w:r>
      <w:r w:rsidRPr="005F130A">
        <w:rPr>
          <w:rFonts w:eastAsia="Times New Roman"/>
          <w:color w:val="000000"/>
          <w:sz w:val="20"/>
          <w:szCs w:val="20"/>
        </w:rPr>
        <w:t xml:space="preserve"> leadership and professional development workshops.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proofErr w:type="gramStart"/>
      <w:r w:rsidRPr="005F130A">
        <w:rPr>
          <w:rFonts w:eastAsia="Times New Roman"/>
          <w:i/>
          <w:iCs/>
          <w:color w:val="000000"/>
          <w:sz w:val="20"/>
          <w:szCs w:val="20"/>
        </w:rPr>
        <w:t>Summer</w:t>
      </w:r>
      <w:proofErr w:type="gramEnd"/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 2012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5F130A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9F5866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9F5866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DF5DB9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5A27D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5F130A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REFERENCES</w:t>
      </w:r>
    </w:p>
    <w:p w:rsidR="002551EC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Dr. </w:t>
      </w:r>
      <w:r w:rsidRPr="00D9760F">
        <w:rPr>
          <w:rFonts w:eastAsia="Times New Roman"/>
          <w:sz w:val="19"/>
          <w:szCs w:val="19"/>
        </w:rPr>
        <w:t>Dan Garcia</w:t>
      </w:r>
      <w:r>
        <w:rPr>
          <w:rFonts w:eastAsia="Times New Roman"/>
          <w:sz w:val="19"/>
          <w:szCs w:val="19"/>
        </w:rPr>
        <w:t>: EECS</w:t>
      </w:r>
      <w:r w:rsidR="00B128D5">
        <w:rPr>
          <w:rFonts w:eastAsia="Times New Roman"/>
          <w:sz w:val="19"/>
          <w:szCs w:val="19"/>
        </w:rPr>
        <w:t xml:space="preserve"> Professor; </w:t>
      </w:r>
      <w:r w:rsidR="00F8713E">
        <w:rPr>
          <w:rFonts w:eastAsia="Times New Roman"/>
          <w:sz w:val="19"/>
          <w:szCs w:val="19"/>
        </w:rPr>
        <w:t>Founder of Beauty and Joy of Computing</w:t>
      </w:r>
      <w:r w:rsidR="00F8713E">
        <w:rPr>
          <w:rFonts w:eastAsia="Times New Roman"/>
          <w:sz w:val="19"/>
          <w:szCs w:val="19"/>
        </w:rPr>
        <w:tab/>
      </w:r>
      <w:hyperlink r:id="rId5" w:history="1">
        <w:r w:rsidRPr="00D9760F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517-4041</w:t>
      </w:r>
    </w:p>
    <w:p w:rsidR="00D9760F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Dr. Joshua Hug: EECS Professor; C.S. 10 Lecturer</w:t>
      </w:r>
      <w:r w:rsidR="00F8713E">
        <w:rPr>
          <w:rFonts w:eastAsia="Times New Roman"/>
          <w:sz w:val="19"/>
          <w:szCs w:val="19"/>
        </w:rPr>
        <w:t xml:space="preserve"> Fall 2015</w:t>
      </w:r>
      <w:r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hyperlink r:id="rId6" w:history="1">
        <w:r w:rsidRPr="00B128D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301-5836</w:t>
      </w:r>
    </w:p>
    <w:p w:rsidR="002C6E82" w:rsidRPr="00A34584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A34584">
        <w:rPr>
          <w:rFonts w:eastAsia="Times New Roman"/>
          <w:color w:val="FF0000"/>
          <w:sz w:val="19"/>
          <w:szCs w:val="19"/>
        </w:rPr>
        <w:t>Cathy Leather (???)</w:t>
      </w:r>
      <w:bookmarkStart w:id="0" w:name="_GoBack"/>
      <w:bookmarkEnd w:id="0"/>
    </w:p>
    <w:sectPr w:rsidR="002C6E82" w:rsidRPr="00A34584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E6F8B"/>
    <w:rsid w:val="001F6EBB"/>
    <w:rsid w:val="00222B95"/>
    <w:rsid w:val="00225B8C"/>
    <w:rsid w:val="00241A12"/>
    <w:rsid w:val="002551EC"/>
    <w:rsid w:val="00255FA0"/>
    <w:rsid w:val="00262233"/>
    <w:rsid w:val="0026391E"/>
    <w:rsid w:val="0027017B"/>
    <w:rsid w:val="0027664D"/>
    <w:rsid w:val="00285186"/>
    <w:rsid w:val="002956FD"/>
    <w:rsid w:val="002C6E82"/>
    <w:rsid w:val="002E0670"/>
    <w:rsid w:val="002F3C15"/>
    <w:rsid w:val="003072D2"/>
    <w:rsid w:val="003201FC"/>
    <w:rsid w:val="00353771"/>
    <w:rsid w:val="00365491"/>
    <w:rsid w:val="003778B8"/>
    <w:rsid w:val="0039544E"/>
    <w:rsid w:val="003A76F3"/>
    <w:rsid w:val="003B4ECE"/>
    <w:rsid w:val="003B68B3"/>
    <w:rsid w:val="003C3CCB"/>
    <w:rsid w:val="003D56C2"/>
    <w:rsid w:val="003E25E8"/>
    <w:rsid w:val="003E5C6C"/>
    <w:rsid w:val="00404334"/>
    <w:rsid w:val="00415D7F"/>
    <w:rsid w:val="004244C3"/>
    <w:rsid w:val="00442013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A45"/>
    <w:rsid w:val="006E0E14"/>
    <w:rsid w:val="006E53D9"/>
    <w:rsid w:val="006F0FEA"/>
    <w:rsid w:val="006F4382"/>
    <w:rsid w:val="006F6D82"/>
    <w:rsid w:val="00706C92"/>
    <w:rsid w:val="00711485"/>
    <w:rsid w:val="0075082F"/>
    <w:rsid w:val="0075796C"/>
    <w:rsid w:val="007770C1"/>
    <w:rsid w:val="00783668"/>
    <w:rsid w:val="007B6510"/>
    <w:rsid w:val="007B6F25"/>
    <w:rsid w:val="007F2ACB"/>
    <w:rsid w:val="008135B7"/>
    <w:rsid w:val="00822630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3A46"/>
    <w:rsid w:val="009F2E56"/>
    <w:rsid w:val="009F366B"/>
    <w:rsid w:val="009F5866"/>
    <w:rsid w:val="009F773B"/>
    <w:rsid w:val="00A033C0"/>
    <w:rsid w:val="00A16E26"/>
    <w:rsid w:val="00A34584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819BE"/>
    <w:rsid w:val="00C82A05"/>
    <w:rsid w:val="00CB228D"/>
    <w:rsid w:val="00CB2712"/>
    <w:rsid w:val="00CD6471"/>
    <w:rsid w:val="00CD66E9"/>
    <w:rsid w:val="00D03011"/>
    <w:rsid w:val="00D23C33"/>
    <w:rsid w:val="00D25CCE"/>
    <w:rsid w:val="00D31267"/>
    <w:rsid w:val="00D57C59"/>
    <w:rsid w:val="00D77819"/>
    <w:rsid w:val="00D9760F"/>
    <w:rsid w:val="00DC5BC3"/>
    <w:rsid w:val="00DD0C3A"/>
    <w:rsid w:val="00DE0542"/>
    <w:rsid w:val="00DE23F6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38</cp:revision>
  <cp:lastPrinted>2016-01-07T19:54:00Z</cp:lastPrinted>
  <dcterms:created xsi:type="dcterms:W3CDTF">2016-01-07T21:56:00Z</dcterms:created>
  <dcterms:modified xsi:type="dcterms:W3CDTF">2016-01-08T04:32:00Z</dcterms:modified>
</cp:coreProperties>
</file>