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6AFA54B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3C53C87D" w14:textId="77777777" w:rsidR="00445B3A" w:rsidRPr="00485ACE" w:rsidRDefault="00000000">
      <w:pPr>
        <w:spacing w:after="60"/>
        <w:ind w:left="3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1B7E4D92" w14:textId="77777777" w:rsidR="00445B3A" w:rsidRPr="00485ACE" w:rsidRDefault="00000000">
      <w:pPr>
        <w:spacing w:after="60"/>
        <w:ind w:left="3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From Delaware to Israel: Evaluating Israel’s Quasi Experiment of a Specialized Corporate Court (Supervisor: Deborah Hensler)</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753F39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ACADEMIC POSITIONS</w:t>
      </w:r>
    </w:p>
    <w:p w14:paraId="472FFF80"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Stanford University, Law School</w:t>
      </w:r>
      <w:r>
        <w:rPr>
          <w:rFonts w:ascii="Garamond" w:hAnsi="Garamond"/>
          <w:color w:val="000000" w:themeColor="text1"/>
        </w:rPr>
        <w:tab/>
        <w:t>2026–2027</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Lecturer</w:t>
      </w:r>
      <w:r w:rsidRPr="00764A09">
        <w:rPr>
          <w:rFonts w:ascii="Garamond" w:hAnsi="Garamond"/>
          <w:color w:val="000000" w:themeColor="text1"/>
        </w:rPr>
        <w:t>, MBA Program</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PROFESSIONAL EXPERIENCE</w:t>
      </w:r>
    </w:p>
    <w:p w14:paraId="739FBC44" w14:textId="77777777" w:rsidR="00445B3A" w:rsidRPr="00B06FEF" w:rsidRDefault="00000000">
      <w:pPr>
        <w:tabs>
          <w:tab w:val="right" w:pos="9026"/>
        </w:tabs>
        <w:spacing w:after="60"/>
        <w:rPr>
          <w:rFonts w:ascii="Garamond" w:hAnsi="Garamond"/>
          <w:color w:val="000000" w:themeColor="text1"/>
        </w:rPr>
      </w:pPr>
      <w:r>
        <w:rPr>
          <w:rFonts w:ascii="Garamond" w:hAnsi="Garamond"/>
          <w:color w:val="000000" w:themeColor="text1"/>
        </w:rPr>
        <w:t xml:space="preserve">Senior Law Clerk to Chief Justice Dr. Asher Grunis, Supreme Court of Israel</w:t>
      </w:r>
      <w:r>
        <w:rPr>
          <w:rFonts w:ascii="Garamond" w:hAnsi="Garamond"/>
          <w:color w:val="000000" w:themeColor="text1"/>
        </w:rPr>
        <w:tab/>
        <w:t>2012</w:t>
      </w:r>
    </w:p>
    <w:p w14:paraId="12022A24" w14:textId="77777777" w:rsidR="00180EAB" w:rsidRDefault="00000000">
      <w:pPr>
        <w:tabs>
          <w:tab w:val="right" w:pos="9026"/>
        </w:tabs>
        <w:spacing w:after="60"/>
        <w:rPr>
          <w:rFonts w:ascii="Garamond" w:hAnsi="Garamond"/>
          <w:color w:val="000000" w:themeColor="text1"/>
        </w:rPr>
      </w:pPr>
      <w:r>
        <w:rPr>
          <w:rFonts w:ascii="Garamond" w:hAnsi="Garamond"/>
          <w:color w:val="000000" w:themeColor="text1"/>
        </w:rPr>
        <w:t xml:space="preserve">Lawyer, Litigation Department, Abramson &amp; Co., Jerusalem</w:t>
      </w:r>
      <w:r>
        <w:rPr>
          <w:rFonts w:ascii="Garamond" w:hAnsi="Garamond"/>
          <w:color w:val="000000" w:themeColor="text1"/>
        </w:rPr>
        <w:tab/>
        <w:t>2011–2016</w:t>
      </w:r>
    </w:p>
    <w:p w14:paraId="6F6FE6B4" w14:textId="77777777" w:rsidR="00640A7D" w:rsidRPr="00485ACE" w:rsidRDefault="00640A7D" w:rsidP="00640A7D">
      <w:pPr>
        <w:tabs>
          <w:tab w:val="right" w:pos="9026"/>
        </w:tabs>
        <w:spacing w:after="60"/>
        <w:rPr>
          <w:rFonts w:ascii="Garamond" w:hAnsi="Garamond"/>
          <w:color w:val="000000" w:themeColor="text1"/>
        </w:rPr>
      </w:pPr>
      <w:r>
        <w:rPr>
          <w:rFonts w:ascii="Garamond" w:hAnsi="Garamond"/>
          <w:color w:val="000000" w:themeColor="text1"/>
        </w:rPr>
        <w:t xml:space="preserve">Member, Israel Bar Association</w:t>
      </w:r>
      <w:r>
        <w:rPr>
          <w:rFonts w:ascii="Garamond" w:hAnsi="Garamond"/>
          <w:color w:val="000000" w:themeColor="text1"/>
        </w:rPr>
        <w:tab/>
        <w:t>2011–present</w:t>
      </w:r>
    </w:p>
    <w:p w14:paraId="7B046B92" w14:textId="77777777" w:rsidR="00445B3A" w:rsidRPr="00B06FEF" w:rsidRDefault="00000000">
      <w:pPr>
        <w:tabs>
          <w:tab w:val="right" w:pos="9026"/>
        </w:tabs>
        <w:spacing w:after="60"/>
        <w:rPr>
          <w:rFonts w:ascii="Garamond" w:hAnsi="Garamond"/>
          <w:color w:val="000000" w:themeColor="text1"/>
        </w:rPr>
      </w:pPr>
      <w:r>
        <w:rPr>
          <w:rFonts w:ascii="Garamond" w:hAnsi="Garamond"/>
          <w:color w:val="000000" w:themeColor="text1"/>
        </w:rPr>
        <w:t xml:space="preserve">Law Clerk to Chief Justice Dorit Beinisch, Supreme Court of Israel</w:t>
      </w:r>
      <w:r>
        <w:rPr>
          <w:rFonts w:ascii="Garamond" w:hAnsi="Garamond"/>
          <w:color w:val="000000" w:themeColor="text1"/>
        </w:rPr>
        <w:tab/>
        <w:t>2010–2011</w:t>
      </w:r>
    </w:p>
    <w:p w14:paraId="176997EF" w14:textId="04EB5C7E"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undertheorized.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Articles in Refereed Journals and Law Reviews</w:t>
      </w:r>
    </w:p>
    <w:p w14:paraId="1E5FA901" w14:textId="0C11C3E6" w:rsidR="006E6C34" w:rsidRPr="0029729F" w:rsidRDefault="006E6C34" w:rsidP="006E6C34">
      <w:pPr>
        <w:pStyle w:val="ListParagraph"/>
        <w:numPr>
          <w:ilvl w:val="0"/>
          <w:numId w:val="2"/>
        </w:numPr>
        <w:spacing w:after="120"/>
        <w:rPr>
          <w:rFonts w:ascii="Garamond" w:hAnsi="Garamond"/>
          <w:color w:val="000000" w:themeColor="text1"/>
        </w:rPr>
      </w:pPr>
      <w:r w:rsidRPr="0029729F">
        <w:rPr>
          <w:rFonts w:ascii="Garamond" w:hAnsi="Garamond"/>
          <w:b/>
          <w:bCs/>
          <w:color w:val="000000" w:themeColor="text1"/>
        </w:rPr>
        <w:t xml:space="preserve">Yifat Aran</w:t>
      </w:r>
      <w:r w:rsidRPr="0029729F">
        <w:rPr>
          <w:rFonts w:ascii="Garamond" w:hAnsi="Garamond"/>
          <w:color w:val="000000" w:themeColor="text1"/>
        </w:rPr>
        <w:t xml:space="preserve">, </w:t>
      </w:r>
      <w:r w:rsidRPr="0029729F">
        <w:rPr>
          <w:rFonts w:ascii="Garamond" w:hAnsi="Garamond"/>
          <w:i/>
          <w:iCs/>
          <w:color w:val="000000" w:themeColor="text1"/>
        </w:rPr>
        <w:t xml:space="preserve">The Optional Firm: The Silicon Valley Model of Startup Organization</w:t>
      </w:r>
      <w:r w:rsidRPr="0029729F">
        <w:rPr>
          <w:rFonts w:ascii="Garamond" w:hAnsi="Garamond"/>
          <w:color w:val="000000" w:themeColor="text1"/>
        </w:rPr>
        <w:t xml:space="preserve"> (forthcoming, </w:t>
      </w:r>
      <w:r w:rsidRPr="0029729F">
        <w:rPr>
          <w:rFonts w:ascii="Garamond" w:hAnsi="Garamond"/>
          <w:smallCaps/>
          <w:color w:val="000000" w:themeColor="text1"/>
        </w:rPr>
        <w:t xml:space="preserve">European Business Organization Law Review</w:t>
      </w:r>
      <w:r w:rsidRPr="0029729F">
        <w:rPr>
          <w:rFonts w:ascii="Garamond" w:hAnsi="Garamond"/>
          <w:color w:val="000000" w:themeColor="text1"/>
        </w:rPr>
        <w:t xml:space="preserve">).</w:t>
      </w:r>
    </w:p>
    <w:p w14:paraId="1E5FA900" w14:textId="0C11C3E5" w:rsidR="006E6C34" w:rsidRPr="006E6C34" w:rsidRDefault="006E6C34" w:rsidP="006E6C34">
      <w:pPr>
        <w:pStyle w:val="ListParagraph"/>
        <w:numPr>
          <w:ilvl w:val="0"/>
          <w:numId w:val="2"/>
        </w:numPr>
        <w:spacing w:after="12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3A7B92F1" w14:textId="33C44D58" w:rsidR="006E6C34" w:rsidRDefault="006E6C34" w:rsidP="006E6C34">
      <w:pPr>
        <w:pStyle w:val="ListParagraph"/>
        <w:numPr>
          <w:ilvl w:val="0"/>
          <w:numId w:val="2"/>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 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20"/>
        <w:rPr>
          <w:rFonts w:ascii="Garamond" w:hAnsi="Garamond"/>
          <w:color w:val="000000" w:themeColor="text1"/>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25(1)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867–963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 xml:space="preserve">Featured on The Indicator from Planet Money (NPR), June 2026.</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Chapters in Edited Volumes</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Specialised Courts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 xml:space="preserve">Work in Progress</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Cs/>
          <w:color w:val="000000" w:themeColor="text1"/>
        </w:rPr>
        <w:t xml:space="preserve">Brian Broughman &amp; </w:t>
      </w: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Venture Unraveled</w:t>
      </w:r>
      <w:r w:rsidRPr="0029729F">
        <w:rPr>
          <w:rFonts w:ascii="Garamond" w:hAnsi="Garamond"/>
          <w:bCs/>
          <w:color w:val="000000" w:themeColor="text1"/>
        </w:rPr>
        <w:t xml:space="preserve">.</w:t>
      </w:r>
    </w:p>
    <w:p w14:paraId="0452703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Other Publications</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for a Holistic Approach</w:t>
      </w:r>
      <w:r>
        <w:rPr>
          <w:rFonts w:ascii="Garamond" w:hAnsi="Garamond"/>
          <w:color w:val="000000" w:themeColor="text1"/>
        </w:rPr>
        <w:t>, ECGI Blog (January 10, 2026).</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4EEFA40D" w14:textId="77777777" w:rsidR="0030252E" w:rsidRPr="00485ACE" w:rsidRDefault="0030252E" w:rsidP="0030252E">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65A7B862" w14:textId="2383B30C"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GRANTS</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Israel Science Foundation (ISF). ₪540,000.</w:t>
      </w:r>
    </w:p>
    <w:p w14:paraId="5A3C9E21"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2026–2027  </w:t>
      </w:r>
      <w:r>
        <w:rPr>
          <w:rFonts w:ascii="Garamond" w:hAnsi="Garamond"/>
          <w:color w:val="000000" w:themeColor="text1"/>
        </w:rPr>
        <w:t xml:space="preserve">PI. </w:t>
      </w:r>
      <w:r>
        <w:rPr>
          <w:rFonts w:ascii="Garamond" w:hAnsi="Garamond"/>
          <w:i/>
          <w:iCs/>
          <w:color w:val="000000" w:themeColor="text1"/>
        </w:rPr>
        <w:t>Where Does “Start-Up Nation” Actually Operate? The Operational Geography of Israeli Startups, Access to Capital, and Implications for Israeli Entrepreneurship</w:t>
      </w:r>
      <w:r>
        <w:rPr>
          <w:rFonts w:ascii="Garamond" w:hAnsi="Garamond"/>
          <w:color w:val="000000" w:themeColor="text1"/>
        </w:rPr>
        <w:t>. The Phoenix Institute for Capital Market Research, Reichman University.</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 Science Foundation (ISF). ₪561,000.</w:t>
      </w:r>
    </w:p>
    <w:p w14:paraId="79FF28BD"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TEACHING</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2023–2026</w:t>
      </w:r>
      <w:r>
        <w:rPr>
          <w:rFonts w:ascii="Garamond" w:hAnsi="Garamond"/>
          <w:color w:val="000000" w:themeColor="text1"/>
        </w:rPr>
        <w:tab/>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2022–2026</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08ED37DB" w14:textId="542FF475"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Invited Scholarly Lectures</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A0B000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 xml:space="preserve">I.B.I. Capital</w:t>
      </w:r>
    </w:p>
    <w:p w14:paraId="5D7EB849"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Law and Entrepreneurship Association (LEA) Retreat, Vanderbilt University</w:t>
      </w:r>
    </w:p>
    <w:p w14:paraId="5A0B000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07/2023  </w:t>
      </w:r>
      <w:r>
        <w:rPr>
          <w:rFonts w:ascii="Garamond" w:hAnsi="Garamond"/>
          <w:color w:val="000000" w:themeColor="text1"/>
        </w:rPr>
        <w:t xml:space="preserve">15th Annual Columbia-Ono Corporate Law &amp; Governance Conference, Ono Academic College (invited plenary speaker)</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5A0B0003"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 xml:space="preserve">Controlling Shareholders, Control Enhancing Mechanisms and Corporate Governance, Tel Aviv (invited speaker)</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Law and Entrepreneurship Association (LEA) Retreat, University of Pennsylvania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5A0B00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05/2021  </w:t>
      </w:r>
      <w:r>
        <w:rPr>
          <w:rFonts w:ascii="Garamond" w:hAnsi="Garamond"/>
          <w:color w:val="000000" w:themeColor="text1"/>
        </w:rPr>
        <w:t xml:space="preserve">Behavioral Ethics Meets Corporate Governance, Jerusalem (invited plenary speaker, moderator)</w:t>
      </w:r>
    </w:p>
    <w:p w14:paraId="5A0B000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01/2021  </w:t>
      </w:r>
      <w:r>
        <w:rPr>
          <w:rFonts w:ascii="Garamond" w:hAnsi="Garamond"/>
          <w:color w:val="000000" w:themeColor="text1"/>
        </w:rPr>
        <w:t xml:space="preserve">A Decade to the Economic Court (invited plenary speaker)</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Seminar &amp; Colloquium Talks</w:t>
      </w:r>
    </w:p>
    <w:p w14:paraId="5A0B000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2026  </w:t>
      </w:r>
      <w:r>
        <w:rPr>
          <w:rFonts w:ascii="Garamond" w:hAnsi="Garamond"/>
          <w:color w:val="000000" w:themeColor="text1"/>
        </w:rPr>
        <w:t xml:space="preserve">Departmental Seminar, School of Economics, University of Haifa</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The Hebrew University of Jerusalem</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5A0B000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  </w:t>
      </w:r>
      <w:r>
        <w:rPr>
          <w:rFonts w:ascii="Garamond" w:hAnsi="Garamond"/>
          <w:color w:val="000000" w:themeColor="text1"/>
        </w:rPr>
        <w:t xml:space="preserve">Applied Economics Seminar, Tiomkin School of Economics, Reichman University</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6C2B07DE" w14:textId="06997734"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43BDB007" w14:textId="36501FD3" w:rsidR="00445B3A" w:rsidRPr="00485ACE" w:rsidRDefault="00000000">
      <w:pPr>
        <w:pStyle w:val="Heading2"/>
        <w:keepNext/>
        <w:keepLines/>
        <w:rPr>
          <w:rFonts w:ascii="Garamond" w:hAnsi="Garamond"/>
          <w:color w:val="000000" w:themeColor="text1"/>
        </w:rPr>
      </w:pPr>
      <w:r>
        <w:rPr>
          <w:rFonts w:ascii="Garamond" w:hAnsi="Garamond"/>
          <w:color w:val="000000" w:themeColor="text1"/>
        </w:rPr>
        <w:t>Professional Service</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 speaker)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10"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