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3C53C87D" w14:textId="77777777" w:rsidR="00445B3A" w:rsidRPr="00485ACE" w:rsidRDefault="00000000">
      <w:pPr>
        <w:keepLines/>
        <w:spacing w:after="60"/>
        <w:ind w:left="3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0CBD57D3"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1B7E4D92" w14:textId="77777777" w:rsidR="00445B3A" w:rsidRPr="00485ACE" w:rsidRDefault="00000000">
      <w:pPr>
        <w:keepLines/>
        <w:spacing w:after="60"/>
        <w:ind w:left="3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From Delaware to Israel: Evaluating Israel’s Quasi Experiment of a Specialized Corporate Court (Supervisor: Deborah Hensler)</w:t>
      </w:r>
    </w:p>
    <w:p w14:paraId="56DEEEB3"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472FFF80"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2026–2027</w:t>
      </w:r>
    </w:p>
    <w:p w14:paraId="7DB33596" w14:textId="64695D80" w:rsidR="00445B3A" w:rsidRPr="00485ACE" w:rsidRDefault="00764A09">
      <w:pPr>
        <w:keepLines/>
        <w:tabs>
          <w:tab w:val="right" w:pos="9026"/>
        </w:tabs>
        <w:spacing w:after="60"/>
        <w:rPr>
          <w:rFonts w:ascii="Garamond" w:hAnsi="Garamond"/>
          <w:color w:val="000000" w:themeColor="text1"/>
        </w:rPr>
      </w:pPr>
      <w:r w:rsidRPr="00764A09">
        <w:rPr>
          <w:rFonts w:ascii="Garamond" w:hAnsi="Garamond"/>
          <w:b/>
          <w:bCs/>
          <w:color w:val="000000" w:themeColor="text1"/>
        </w:rPr>
        <w:t>Lecturer</w:t>
      </w:r>
      <w:r w:rsidRPr="00764A09">
        <w:rPr>
          <w:rFonts w:ascii="Garamond" w:hAnsi="Garamond"/>
          <w:color w:val="000000" w:themeColor="text1"/>
        </w:rPr>
        <w:t>, MBA Program</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158DD864" w14:textId="6AD1928B" w:rsidR="00445B3A" w:rsidRPr="00485ACE" w:rsidRDefault="00764A09">
      <w:pPr>
        <w:keepLines/>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5F1BC3B6"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739FBC44" w14:textId="77777777" w:rsidR="00445B3A" w:rsidRPr="00B06FEF" w:rsidRDefault="00000000">
      <w:pPr>
        <w:keepLines/>
        <w:tabs>
          <w:tab w:val="right" w:pos="9026"/>
        </w:tabs>
        <w:spacing w:after="60"/>
        <w:rPr>
          <w:rFonts w:ascii="Garamond" w:hAnsi="Garamond"/>
          <w:color w:val="000000" w:themeColor="text1"/>
        </w:rPr>
      </w:pPr>
      <w:r>
        <w:rPr>
          <w:rFonts w:ascii="Garamond" w:hAnsi="Garamond"/>
          <w:color w:val="000000" w:themeColor="text1"/>
        </w:rPr>
        <w:t xml:space="preserve">Senior Law Clerk to Chief Justice Dr. Asher Grunis, Supreme Court of Israel</w:t>
      </w:r>
      <w:r>
        <w:rPr>
          <w:rFonts w:ascii="Garamond" w:hAnsi="Garamond"/>
          <w:color w:val="000000" w:themeColor="text1"/>
        </w:rPr>
        <w:tab/>
        <w:t>2012</w:t>
      </w:r>
    </w:p>
    <w:p w14:paraId="12022A24" w14:textId="77777777" w:rsidR="00180EAB" w:rsidRDefault="00000000">
      <w:pPr>
        <w:keepLines/>
        <w:tabs>
          <w:tab w:val="right" w:pos="9026"/>
        </w:tabs>
        <w:spacing w:after="60"/>
        <w:rPr>
          <w:rFonts w:ascii="Garamond" w:hAnsi="Garamond"/>
          <w:color w:val="000000" w:themeColor="text1"/>
        </w:rPr>
      </w:pPr>
      <w:r>
        <w:rPr>
          <w:rFonts w:ascii="Garamond" w:hAnsi="Garamond"/>
          <w:color w:val="000000" w:themeColor="text1"/>
        </w:rPr>
        <w:t xml:space="preserve">Lawyer, Litigation Department, Abramson &amp; Co., Jerusalem</w:t>
      </w:r>
      <w:r>
        <w:rPr>
          <w:rFonts w:ascii="Garamond" w:hAnsi="Garamond"/>
          <w:color w:val="000000" w:themeColor="text1"/>
        </w:rPr>
        <w:tab/>
        <w:t>2011–2016</w:t>
      </w:r>
    </w:p>
    <w:p w14:paraId="6F6FE6B4" w14:textId="77777777" w:rsidR="00640A7D" w:rsidRPr="00485ACE" w:rsidRDefault="00640A7D" w:rsidP="00640A7D">
      <w:pPr>
        <w:keepLines/>
        <w:tabs>
          <w:tab w:val="right" w:pos="9026"/>
        </w:tabs>
        <w:spacing w:after="60"/>
        <w:rPr>
          <w:rFonts w:ascii="Garamond" w:hAnsi="Garamond"/>
          <w:color w:val="000000" w:themeColor="text1"/>
        </w:rPr>
      </w:pPr>
      <w:r>
        <w:rPr>
          <w:rFonts w:ascii="Garamond" w:hAnsi="Garamond"/>
          <w:color w:val="000000" w:themeColor="text1"/>
        </w:rPr>
        <w:t xml:space="preserve">Member, Israel Bar Association</w:t>
      </w:r>
      <w:r>
        <w:rPr>
          <w:rFonts w:ascii="Garamond" w:hAnsi="Garamond"/>
          <w:color w:val="000000" w:themeColor="text1"/>
        </w:rPr>
        <w:tab/>
        <w:t>2011–present</w:t>
      </w:r>
    </w:p>
    <w:p w14:paraId="7B046B92" w14:textId="77777777" w:rsidR="00445B3A" w:rsidRPr="00B06FEF" w:rsidRDefault="00000000">
      <w:pPr>
        <w:keepLines/>
        <w:tabs>
          <w:tab w:val="right" w:pos="9026"/>
        </w:tabs>
        <w:spacing w:after="60"/>
        <w:rPr>
          <w:rFonts w:ascii="Garamond" w:hAnsi="Garamond"/>
          <w:color w:val="000000" w:themeColor="text1"/>
        </w:rPr>
      </w:pPr>
      <w:r>
        <w:rPr>
          <w:rFonts w:ascii="Garamond" w:hAnsi="Garamond"/>
          <w:color w:val="000000" w:themeColor="text1"/>
        </w:rPr>
        <w:t xml:space="preserve">Law Clerk to Chief Justice Dorit Beinisch, Supreme Court of Israel</w:t>
      </w:r>
      <w:r>
        <w:rPr>
          <w:rFonts w:ascii="Garamond" w:hAnsi="Garamond"/>
          <w:color w:val="000000" w:themeColor="text1"/>
        </w:rPr>
        <w:tab/>
        <w:t>2010–2011</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keepLines/>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1E5FA901" w14:textId="0C11C3E6" w:rsidR="006E6C34" w:rsidRPr="0029729F" w:rsidRDefault="006E6C34" w:rsidP="006E6C34">
      <w:pPr>
        <w:pStyle w:val="ListParagraph"/>
        <w:keepLines/>
        <w:numPr>
          <w:ilvl w:val="0"/>
          <w:numId w:val="2"/>
        </w:numPr>
        <w:spacing w:after="12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E5FA900" w14:textId="0C11C3E5" w:rsidR="006E6C34" w:rsidRPr="006E6C34" w:rsidRDefault="006E6C34" w:rsidP="006E6C34">
      <w:pPr>
        <w:pStyle w:val="ListParagraph"/>
        <w:keepLines/>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3A7B92F1" w14:textId="33C44D58" w:rsidR="006E6C34" w:rsidRDefault="006E6C34" w:rsidP="006E6C34">
      <w:pPr>
        <w:pStyle w:val="ListParagraph"/>
        <w:keepLines/>
        <w:numPr>
          <w:ilvl w:val="0"/>
          <w:numId w:val="2"/>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51D60B83" w14:textId="77777777" w:rsidR="00445B3A" w:rsidRPr="0029729F" w:rsidRDefault="00000000">
      <w:pPr>
        <w:pStyle w:val="ListParagraph"/>
        <w:keepLines/>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keepLines/>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1838D705" w14:textId="77777777"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41D9B30C" w14:textId="77777777"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771696C0" w14:textId="3DF67E32"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500FC706" w14:textId="77777777"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22900BBD" w14:textId="77777777"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4B2F4D28" w14:textId="22C4120D" w:rsidR="00445B3A" w:rsidRPr="00485ACE" w:rsidRDefault="00000000">
      <w:pPr>
        <w:pStyle w:val="ListParagraph"/>
        <w:keepNext/>
        <w:keepLines/>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keepNext/>
        <w:keepLines/>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310ABF1C" w14:textId="77777777" w:rsidR="00445B3A" w:rsidRPr="00485ACE" w:rsidRDefault="00000000">
      <w:pPr>
        <w:pStyle w:val="ListParagraph"/>
        <w:keepLines/>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4708A0B9" w14:textId="77777777" w:rsidR="00445B3A" w:rsidRPr="00485ACE" w:rsidRDefault="00000000">
      <w:pPr>
        <w:pStyle w:val="ListParagraph"/>
        <w:keepNext/>
        <w:keepLines/>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keepLines/>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A4B8D31"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5270046C"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for a Holistic Approach</w:t>
      </w:r>
      <w:r>
        <w:rPr>
          <w:rFonts w:ascii="Garamond" w:hAnsi="Garamond"/>
          <w:color w:val="000000" w:themeColor="text1"/>
        </w:rPr>
        <w:t>, ECGI Blog (January 10, 2026).</w:t>
      </w:r>
    </w:p>
    <w:p w14:paraId="53ED5202"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24A11D49"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66389B0D"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AC1C1E8"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4EEFA40D" w14:textId="77777777" w:rsidR="0030252E" w:rsidRPr="00485ACE" w:rsidRDefault="0030252E" w:rsidP="0030252E">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5D268B7A" w14:textId="77777777" w:rsidR="00445B3A"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69A795B1" w14:textId="77777777" w:rsidR="00445B3A" w:rsidRPr="00485ACE" w:rsidRDefault="00000000">
      <w:pPr>
        <w:pStyle w:val="ListParagraph"/>
        <w:keepLines/>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keepLines/>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7E0E649A"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68D2C8EE"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4A281084"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04519E06"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0936612F"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keepLines/>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keepLines/>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5A3C9E21" w14:textId="77777777" w:rsidR="00445B3A" w:rsidRPr="00485ACE" w:rsidRDefault="00000000">
      <w:pPr>
        <w:keepLines/>
        <w:spacing w:after="80"/>
        <w:rPr>
          <w:rFonts w:ascii="Garamond" w:hAnsi="Garamond"/>
          <w:color w:val="000000" w:themeColor="text1"/>
        </w:rPr>
      </w:pPr>
      <w:r>
        <w:rPr>
          <w:rFonts w:ascii="Garamond" w:hAnsi="Garamond"/>
          <w:b/>
          <w:bCs/>
          <w:color w:val="000000" w:themeColor="text1"/>
        </w:rPr>
        <w:t xml:space="preserve">2026–2027  </w:t>
      </w:r>
      <w:r>
        <w:rPr>
          <w:rFonts w:ascii="Garamond" w:hAnsi="Garamond"/>
          <w:color w:val="000000" w:themeColor="text1"/>
        </w:rPr>
        <w:t xml:space="preserve">PI. </w:t>
      </w:r>
      <w:r>
        <w:rPr>
          <w:rFonts w:ascii="Garamond" w:hAnsi="Garamond"/>
          <w:i/>
          <w:iCs/>
          <w:color w:val="000000" w:themeColor="text1"/>
        </w:rPr>
        <w:t>Where Does “Start-Up Nation” Actually Operate? The Operational Geography of Israeli Startups, Access to Capital, and Implications for Israeli Entrepreneurship</w:t>
      </w:r>
      <w:r>
        <w:rPr>
          <w:rFonts w:ascii="Garamond" w:hAnsi="Garamond"/>
          <w:color w:val="000000" w:themeColor="text1"/>
        </w:rPr>
        <w:t>. The Phoenix Institute for Capital Market Research, Reichman University.</w:t>
      </w:r>
    </w:p>
    <w:p w14:paraId="49D8A0AD" w14:textId="77777777" w:rsidR="00445B3A" w:rsidRPr="00485ACE" w:rsidRDefault="00000000">
      <w:pPr>
        <w:keepLines/>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keepLines/>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3176DD" w14:textId="476965FF" w:rsidR="00445B3A" w:rsidRPr="00485ACE" w:rsidRDefault="00000000" w:rsidP="008C78BB">
      <w:pPr>
        <w:keepNext/>
        <w:keepLines/>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1CE21182" w14:textId="7F36E6CD" w:rsidR="00445B3A" w:rsidRPr="00485ACE" w:rsidRDefault="00000000">
      <w:pPr>
        <w:keepNext/>
        <w:keepLines/>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keepNext/>
        <w:keepLines/>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CAD88A" w14:textId="77777777" w:rsidR="00445B3A" w:rsidRPr="00485ACE" w:rsidRDefault="00000000">
      <w:pPr>
        <w:keepLines/>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keepLines/>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keepLines/>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keepLines/>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keepLines/>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keepLines/>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Law and Entrepreneurship Association (LEA) Retreat, Vanderbilt University</w:t>
      </w:r>
    </w:p>
    <w:p w14:paraId="5A0B0002"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keepLines/>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Law and Entrepreneurship Association (LEA) Retreat, University of Pennsylvania</w:t>
      </w:r>
    </w:p>
    <w:p w14:paraId="418F1F8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keepLines/>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keepLines/>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keepLines/>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3AE1B07A" w14:textId="1405042A" w:rsidR="00A64C48" w:rsidRDefault="00000000" w:rsidP="004C3E53">
      <w:pPr>
        <w:keepLines/>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2B2BA42B"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4BE6D119"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09D5032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386827A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70F0956E"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47908E9D"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58A185A2"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6BA767E8" w14:textId="7F3C1574" w:rsidR="00791E87" w:rsidRDefault="00000000" w:rsidP="00A64C48">
      <w:pPr>
        <w:keepLines/>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keepLines/>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keepLines/>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keepLines/>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keepLines/>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900" w:right="1080" w:bottom="900" w:left="1080" w:header="520" w:footer="5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00" w:after="120"/>
      <w:outlineLvl w:val="0"/>
    </w:pPr>
    <w:rPr>
      <w:b/>
      <w:bCs/>
      <w:caps/>
      <w:color w:val="2C3E50"/>
      <w:sz w:val="26"/>
      <w:szCs w:val="26"/>
    </w:rPr>
  </w:style>
  <w:style w:type="paragraph" w:styleId="Heading2">
    <w:name w:val="heading 2"/>
    <w:uiPriority w:val="9"/>
    <w:unhideWhenUsed/>
    <w:qFormat/>
    <w:pPr>
      <w:spacing w:before="20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