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1996" w14:textId="77777777" w:rsidR="00445B3A" w:rsidRPr="00485ACE" w:rsidRDefault="00000000">
      <w:pPr>
        <w:spacing w:after="40"/>
        <w:jc w:val="center"/>
        <w:rPr>
          <w:rFonts w:ascii="Garamond" w:hAnsi="Garamond"/>
          <w:color w:val="000000" w:themeColor="text1"/>
        </w:rPr>
      </w:pPr>
      <w:r>
        <w:rPr>
          <w:rFonts w:ascii="Garamond" w:hAnsi="Garamond"/>
          <w:b/>
          <w:bCs/>
          <w:color w:val="000000" w:themeColor="text1"/>
          <w:sz w:val="40"/>
          <w:szCs w:val="40"/>
        </w:rPr>
        <w:t>YIFAT ARAN</w:t>
      </w:r>
    </w:p>
    <w:p w14:paraId="0CAD7BC4" w14:textId="467237B7" w:rsidR="00445B3A" w:rsidRPr="00485ACE" w:rsidRDefault="00791E87">
      <w:pPr>
        <w:spacing w:after="20"/>
        <w:jc w:val="center"/>
        <w:rPr>
          <w:rFonts w:ascii="Garamond" w:hAnsi="Garamond"/>
          <w:color w:val="000000" w:themeColor="text1"/>
        </w:rPr>
      </w:pPr>
      <w:r>
        <w:rPr>
          <w:rFonts w:ascii="Garamond" w:hAnsi="Garamond"/>
          <w:color w:val="000000" w:themeColor="text1"/>
        </w:rPr>
        <w:t>Assistant Professor, Faculty of Law, University of Haifa</w:t>
      </w:r>
    </w:p>
    <w:p w14:paraId="7671D3BC"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aranyifat@law.haifa.ac.il  |  +972-528-357327  |  </w:t>
      </w:r>
      <w:hyperlink r:id="rId7" w:history="1">
        <w:r w:rsidR="00445B3A">
          <w:rPr>
            <w:rStyle w:val="Hyperlink"/>
            <w:rFonts w:ascii="Garamond" w:hAnsi="Garamond"/>
            <w:color w:val="000000" w:themeColor="text1"/>
            <w:sz w:val="20"/>
            <w:szCs w:val="20"/>
          </w:rPr>
          <w:t>www.yifataran.com</w:t>
        </w:r>
      </w:hyperlink>
    </w:p>
    <w:p w14:paraId="07D4C2B8"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ORCID: </w:t>
      </w:r>
      <w:hyperlink r:id="rId8" w:history="1">
        <w:r w:rsidR="00445B3A">
          <w:rPr>
            <w:rStyle w:val="Hyperlink"/>
            <w:rFonts w:ascii="Garamond" w:hAnsi="Garamond"/>
            <w:color w:val="000000" w:themeColor="text1"/>
            <w:sz w:val="20"/>
            <w:szCs w:val="20"/>
          </w:rPr>
          <w:t>0000-0002-4745-9068</w:t>
        </w:r>
      </w:hyperlink>
    </w:p>
    <w:p w14:paraId="083EC438" w14:textId="77777777" w:rsidR="00445B3A" w:rsidRPr="00485ACE" w:rsidRDefault="00445B3A">
      <w:pPr>
        <w:pBdr>
          <w:bottom w:val="single" w:sz="2" w:space="0" w:color="2C3E50"/>
        </w:pBdr>
        <w:spacing w:before="60" w:after="60"/>
        <w:rPr>
          <w:rFonts w:ascii="Garamond" w:hAnsi="Garamond"/>
          <w:color w:val="000000" w:themeColor="text1"/>
        </w:rPr>
      </w:pPr>
    </w:p>
    <w:p w14:paraId="6AFA54BC" w14:textId="77777777" w:rsidR="00445B3A" w:rsidRPr="00485ACE" w:rsidRDefault="00000000">
      <w:pPr>
        <w:pStyle w:val="Heading1"/>
        <w:rPr>
          <w:rFonts w:ascii="Garamond" w:hAnsi="Garamond"/>
          <w:color w:val="000000" w:themeColor="text1"/>
        </w:rPr>
      </w:pPr>
      <w:r>
        <w:rPr>
          <w:rFonts w:ascii="Garamond" w:hAnsi="Garamond"/>
          <w:color w:val="000000" w:themeColor="text1"/>
        </w:rPr>
        <w:t>EDUCATION</w:t>
      </w:r>
    </w:p>
    <w:p w14:paraId="2091999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JSD</w:t>
      </w:r>
      <w:r>
        <w:rPr>
          <w:rFonts w:ascii="Garamond" w:hAnsi="Garamond"/>
          <w:color w:val="000000" w:themeColor="text1"/>
        </w:rPr>
        <w:t>, Stanford University, Law School</w:t>
      </w:r>
      <w:r>
        <w:rPr>
          <w:rFonts w:ascii="Garamond" w:hAnsi="Garamond"/>
          <w:color w:val="000000" w:themeColor="text1"/>
        </w:rPr>
        <w:tab/>
        <w:t>2015–2020</w:t>
      </w:r>
    </w:p>
    <w:p w14:paraId="0CBD57D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JSM</w:t>
      </w:r>
      <w:r>
        <w:rPr>
          <w:rFonts w:ascii="Garamond" w:hAnsi="Garamond"/>
          <w:color w:val="000000" w:themeColor="text1"/>
        </w:rPr>
        <w:t>, Stanford University, Law School</w:t>
      </w:r>
      <w:r>
        <w:rPr>
          <w:rFonts w:ascii="Garamond" w:hAnsi="Garamond"/>
          <w:color w:val="000000" w:themeColor="text1"/>
        </w:rPr>
        <w:tab/>
        <w:t>2014–2015</w:t>
      </w:r>
    </w:p>
    <w:p w14:paraId="56DEEEB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LLM</w:t>
      </w:r>
      <w:r>
        <w:rPr>
          <w:rFonts w:ascii="Garamond" w:hAnsi="Garamond"/>
          <w:color w:val="000000" w:themeColor="text1"/>
        </w:rPr>
        <w:t xml:space="preserve">, Hebrew University of Jerusalem, Faculty of Law, </w:t>
      </w:r>
      <w:r w:rsidRPr="00715D5C">
        <w:rPr>
          <w:rFonts w:ascii="Garamond" w:hAnsi="Garamond"/>
          <w:i/>
          <w:iCs/>
          <w:color w:val="000000" w:themeColor="text1"/>
        </w:rPr>
        <w:t>Magna Cum Laude</w:t>
      </w:r>
      <w:r>
        <w:rPr>
          <w:rFonts w:ascii="Garamond" w:hAnsi="Garamond"/>
          <w:color w:val="000000" w:themeColor="text1"/>
        </w:rPr>
        <w:tab/>
        <w:t>2011–2013</w:t>
      </w:r>
    </w:p>
    <w:p w14:paraId="417839F2"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LLB</w:t>
      </w:r>
      <w:r>
        <w:rPr>
          <w:rFonts w:ascii="Garamond" w:hAnsi="Garamond"/>
          <w:color w:val="000000" w:themeColor="text1"/>
        </w:rPr>
        <w:t xml:space="preserve">, Hebrew University of Jerusalem, Faculty of Law, </w:t>
      </w:r>
      <w:r w:rsidRPr="00715D5C">
        <w:rPr>
          <w:rFonts w:ascii="Garamond" w:hAnsi="Garamond"/>
          <w:i/>
          <w:iCs/>
          <w:color w:val="000000" w:themeColor="text1"/>
        </w:rPr>
        <w:t>Summa Cum Laude</w:t>
      </w:r>
      <w:r>
        <w:rPr>
          <w:rFonts w:ascii="Garamond" w:hAnsi="Garamond"/>
          <w:color w:val="000000" w:themeColor="text1"/>
        </w:rPr>
        <w:tab/>
        <w:t>2006–2010</w:t>
      </w:r>
    </w:p>
    <w:p w14:paraId="3C53C87D" w14:textId="77777777" w:rsidR="00445B3A" w:rsidRPr="00485ACE" w:rsidRDefault="00000000">
      <w:pPr>
        <w:spacing w:after="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Securities Regulation Framework for Employee Equity-Based Compensation at Privately Held Firms (Supervisor: Joseph A. Grundfest)</w:t>
      </w:r>
    </w:p>
    <w:p w14:paraId="753F3980" w14:textId="77777777" w:rsidR="00445B3A" w:rsidRPr="00485ACE" w:rsidRDefault="00000000">
      <w:pPr>
        <w:pStyle w:val="Heading1"/>
        <w:rPr>
          <w:rFonts w:ascii="Garamond" w:hAnsi="Garamond"/>
          <w:color w:val="000000" w:themeColor="text1"/>
        </w:rPr>
      </w:pPr>
      <w:r>
        <w:rPr>
          <w:rFonts w:ascii="Garamond" w:hAnsi="Garamond"/>
          <w:color w:val="000000" w:themeColor="text1"/>
        </w:rPr>
        <w:t>ACADEMIC POSITIONS</w:t>
      </w:r>
    </w:p>
    <w:p w14:paraId="158DD864" w14:textId="6AD1928B"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Professor</w:t>
      </w:r>
      <w:r>
        <w:rPr>
          <w:rFonts w:ascii="Garamond" w:hAnsi="Garamond"/>
          <w:color w:val="000000" w:themeColor="text1"/>
        </w:rPr>
        <w:t>, University of Haifa, Faculty of Law</w:t>
      </w:r>
      <w:r>
        <w:rPr>
          <w:rFonts w:ascii="Garamond" w:hAnsi="Garamond"/>
          <w:color w:val="000000" w:themeColor="text1"/>
        </w:rPr>
        <w:tab/>
        <w:t>2021–present</w:t>
      </w:r>
    </w:p>
    <w:p w14:paraId="7DB33596" w14:textId="64695D80"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 xml:space="preserve">Professor </w:t>
      </w:r>
      <w:r w:rsidRPr="00764A09">
        <w:rPr>
          <w:rFonts w:ascii="Garamond" w:hAnsi="Garamond"/>
          <w:color w:val="000000" w:themeColor="text1"/>
        </w:rPr>
        <w:t>(non-tenure-track)</w:t>
      </w:r>
      <w:r>
        <w:rPr>
          <w:rFonts w:ascii="Garamond" w:hAnsi="Garamond"/>
          <w:color w:val="000000" w:themeColor="text1"/>
        </w:rPr>
        <w:t>, Technion – Israel Institute of Technology, Faculty of Data and Decision Sciences</w:t>
      </w:r>
      <w:r>
        <w:rPr>
          <w:rFonts w:ascii="Garamond" w:hAnsi="Garamond"/>
          <w:color w:val="000000" w:themeColor="text1"/>
        </w:rPr>
        <w:tab/>
        <w:t>2022–present</w:t>
      </w:r>
    </w:p>
    <w:p w14:paraId="5F1BC3B6"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Postdoctoral Research Fellow</w:t>
      </w:r>
      <w:r>
        <w:rPr>
          <w:rFonts w:ascii="Garamond" w:hAnsi="Garamond"/>
          <w:color w:val="000000" w:themeColor="text1"/>
        </w:rPr>
        <w:t>, University of Haifa, Faculty of Law (Host: Prof. Tal Zarsky)</w:t>
      </w:r>
      <w:r>
        <w:rPr>
          <w:rFonts w:ascii="Garamond" w:hAnsi="Garamond"/>
          <w:color w:val="000000" w:themeColor="text1"/>
        </w:rPr>
        <w:tab/>
        <w:t>2020–2021</w:t>
      </w:r>
    </w:p>
    <w:p w14:paraId="472FFF7F"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Technion – Israel Institute of Technology, Faculty of Industrial Engineering and Management</w:t>
      </w:r>
      <w:r>
        <w:rPr>
          <w:rFonts w:ascii="Garamond" w:hAnsi="Garamond"/>
          <w:color w:val="000000" w:themeColor="text1"/>
        </w:rPr>
        <w:tab/>
        <w:t>2020–2021</w:t>
      </w:r>
    </w:p>
    <w:p w14:paraId="4C267933" w14:textId="77777777" w:rsidR="00445B3A" w:rsidRPr="00485ACE" w:rsidRDefault="00000000">
      <w:pPr>
        <w:pStyle w:val="Heading1"/>
        <w:rPr>
          <w:rFonts w:ascii="Garamond" w:hAnsi="Garamond"/>
          <w:color w:val="000000" w:themeColor="text1"/>
        </w:rPr>
      </w:pPr>
      <w:r>
        <w:rPr>
          <w:rFonts w:ascii="Garamond" w:hAnsi="Garamond"/>
          <w:color w:val="000000" w:themeColor="text1"/>
        </w:rPr>
        <w:t>PROFESSIONAL EXPERIENCE</w:t>
      </w:r>
    </w:p>
    <w:p w14:paraId="7B046B92"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Law Clerk to Chief Justice Dorit Beinisch, Supreme Court of Israel 2010–2011</w:t>
      </w:r>
      <w:r w:rsidRPr="00B06FEF">
        <w:rPr>
          <w:rFonts w:ascii="Garamond" w:hAnsi="Garamond"/>
          <w:color w:val="000000" w:themeColor="text1"/>
        </w:rPr>
        <w:tab/>
      </w:r>
    </w:p>
    <w:p w14:paraId="6F6FE6B4" w14:textId="77777777" w:rsidR="00640A7D" w:rsidRPr="00485ACE" w:rsidRDefault="00640A7D" w:rsidP="00640A7D">
      <w:pPr>
        <w:spacing w:after="50"/>
        <w:rPr>
          <w:rFonts w:ascii="Garamond" w:hAnsi="Garamond"/>
          <w:color w:val="000000" w:themeColor="text1"/>
        </w:rPr>
      </w:pPr>
      <w:r>
        <w:rPr>
          <w:rFonts w:ascii="Garamond" w:hAnsi="Garamond"/>
          <w:color w:val="000000" w:themeColor="text1"/>
        </w:rPr>
        <w:t xml:space="preserve">Member, Israel Bar Association, </w:t>
      </w:r>
      <w:r w:rsidRPr="00180EAB">
        <w:rPr>
          <w:rFonts w:ascii="Garamond" w:hAnsi="Garamond"/>
          <w:color w:val="000000" w:themeColor="text1"/>
        </w:rPr>
        <w:t>2011–present</w:t>
      </w:r>
      <w:r>
        <w:rPr>
          <w:rFonts w:ascii="Garamond" w:hAnsi="Garamond"/>
          <w:b/>
          <w:bCs/>
          <w:color w:val="000000" w:themeColor="text1"/>
        </w:rPr>
        <w:t xml:space="preserve">  </w:t>
      </w:r>
      <w:r>
        <w:rPr>
          <w:rFonts w:ascii="Garamond" w:hAnsi="Garamond"/>
          <w:color w:val="000000" w:themeColor="text1"/>
        </w:rPr>
        <w:tab/>
      </w:r>
    </w:p>
    <w:p w14:paraId="739FBC44"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Senior Law Clerk to Chief Justice Dr. Asher Grunis, Supreme Court of Israel 2012</w:t>
      </w:r>
      <w:r w:rsidRPr="00B06FEF">
        <w:rPr>
          <w:rFonts w:ascii="Garamond" w:hAnsi="Garamond"/>
          <w:color w:val="000000" w:themeColor="text1"/>
        </w:rPr>
        <w:tab/>
      </w:r>
    </w:p>
    <w:p w14:paraId="12022A24" w14:textId="77777777" w:rsidR="00180EAB" w:rsidRDefault="00000000">
      <w:pPr>
        <w:tabs>
          <w:tab w:val="right" w:pos="9026"/>
        </w:tabs>
        <w:spacing w:after="60"/>
        <w:rPr>
          <w:rFonts w:ascii="Garamond" w:hAnsi="Garamond"/>
          <w:color w:val="000000" w:themeColor="text1"/>
        </w:rPr>
      </w:pPr>
      <w:r w:rsidRPr="00B06FEF">
        <w:rPr>
          <w:rFonts w:ascii="Garamond" w:hAnsi="Garamond"/>
          <w:color w:val="000000" w:themeColor="text1"/>
        </w:rPr>
        <w:t>Lawyer, Litigation Department, Abramson &amp; Co., Jerusalem 201</w:t>
      </w:r>
      <w:r w:rsidR="001137F4" w:rsidRPr="00B06FEF">
        <w:rPr>
          <w:rFonts w:ascii="Garamond" w:hAnsi="Garamond"/>
          <w:color w:val="000000" w:themeColor="text1"/>
        </w:rPr>
        <w:t>2</w:t>
      </w:r>
      <w:r w:rsidRPr="00B06FEF">
        <w:rPr>
          <w:rFonts w:ascii="Garamond" w:hAnsi="Garamond"/>
          <w:color w:val="000000" w:themeColor="text1"/>
        </w:rPr>
        <w:t>–2015</w:t>
      </w:r>
    </w:p>
    <w:p w14:paraId="176997EF" w14:textId="04EB5C7E" w:rsidR="00445B3A" w:rsidRPr="00485ACE" w:rsidRDefault="00000000">
      <w:pPr>
        <w:pStyle w:val="Heading1"/>
        <w:rPr>
          <w:rFonts w:ascii="Garamond" w:hAnsi="Garamond"/>
          <w:color w:val="000000" w:themeColor="text1"/>
        </w:rPr>
      </w:pPr>
      <w:r>
        <w:rPr>
          <w:rFonts w:ascii="Garamond" w:hAnsi="Garamond"/>
          <w:color w:val="000000" w:themeColor="text1"/>
        </w:rPr>
        <w:t>RESEARCH PROFILE</w:t>
      </w:r>
    </w:p>
    <w:p w14:paraId="48F67BC6" w14:textId="5447FEDA" w:rsidR="00445B3A" w:rsidRPr="00485ACE" w:rsidRDefault="00000000" w:rsidP="00B06FEF">
      <w:pPr>
        <w:spacing w:after="100"/>
        <w:jc w:val="both"/>
        <w:rPr>
          <w:rFonts w:ascii="Garamond" w:hAnsi="Garamond"/>
          <w:color w:val="000000" w:themeColor="text1"/>
        </w:rPr>
      </w:pPr>
      <w:r>
        <w:rPr>
          <w:rFonts w:ascii="Garamond" w:hAnsi="Garamond"/>
          <w:color w:val="000000" w:themeColor="text1"/>
        </w:rPr>
        <w:t>Venture-backed startups account for roughly half of U.S. IPOs and drive a disproportionate share of innovation, job creation, and market disruption globally. Yet the legal and institutional frameworks governing these firms remain poorly understood. My scholarship addresses this gap by integrating doctrinal legal analysis, empirical methods, and insights from finance, behavioral economics, and organizational theory to show how law, business models, and market practices jointly shape firm formation, growth, governance, and the distribution of entrepreneurial wealth.</w:t>
      </w:r>
    </w:p>
    <w:p w14:paraId="32F72D80" w14:textId="77777777" w:rsidR="00445B3A" w:rsidRPr="00485ACE" w:rsidRDefault="00000000">
      <w:pPr>
        <w:pStyle w:val="Heading1"/>
        <w:rPr>
          <w:rFonts w:ascii="Garamond" w:hAnsi="Garamond"/>
          <w:color w:val="000000" w:themeColor="text1"/>
        </w:rPr>
      </w:pPr>
      <w:r>
        <w:rPr>
          <w:rFonts w:ascii="Garamond" w:hAnsi="Garamond"/>
          <w:color w:val="000000" w:themeColor="text1"/>
        </w:rPr>
        <w:t>PUBLICATIONS</w:t>
      </w:r>
    </w:p>
    <w:p w14:paraId="4F9967C8" w14:textId="77777777" w:rsidR="00445B3A" w:rsidRPr="00485ACE" w:rsidRDefault="00000000">
      <w:pPr>
        <w:pStyle w:val="Heading2"/>
        <w:rPr>
          <w:rFonts w:ascii="Garamond" w:hAnsi="Garamond"/>
          <w:color w:val="000000" w:themeColor="text1"/>
        </w:rPr>
      </w:pPr>
      <w:r>
        <w:rPr>
          <w:rFonts w:ascii="Garamond" w:hAnsi="Garamond"/>
          <w:color w:val="000000" w:themeColor="text1"/>
        </w:rPr>
        <w:t>Articles in Refereed Journals and Law Reviews</w:t>
      </w:r>
    </w:p>
    <w:p w14:paraId="4B2F4D28" w14:textId="22C4120D"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Beyond Covenants Not to Compete: Equilibrium in High-Tech Start-Up Labor Markets</w:t>
      </w:r>
      <w:r>
        <w:rPr>
          <w:rFonts w:ascii="Garamond" w:hAnsi="Garamond"/>
          <w:color w:val="000000" w:themeColor="text1"/>
        </w:rPr>
        <w:t xml:space="preserve">, 70(4) </w:t>
      </w:r>
      <w:r>
        <w:rPr>
          <w:rFonts w:ascii="Garamond" w:hAnsi="Garamond"/>
          <w:smallCaps/>
          <w:color w:val="000000" w:themeColor="text1"/>
        </w:rPr>
        <w:t>Stanford Law Review</w:t>
      </w:r>
      <w:r>
        <w:rPr>
          <w:rFonts w:ascii="Garamond" w:hAnsi="Garamond"/>
          <w:color w:val="000000" w:themeColor="text1"/>
        </w:rPr>
        <w:t xml:space="preserve"> 1235–1294 (2018).</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John Hart Ely Prize in Law and Economics and the Intellectual Property Writing Award, Stanford Law School.</w:t>
      </w:r>
    </w:p>
    <w:p w14:paraId="22900BBD"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Making Disclosure Work for Start-Up Employees</w:t>
      </w:r>
      <w:r>
        <w:rPr>
          <w:rFonts w:ascii="Garamond" w:hAnsi="Garamond"/>
          <w:color w:val="000000" w:themeColor="text1"/>
        </w:rPr>
        <w:t xml:space="preserve">, 2019(3) </w:t>
      </w:r>
      <w:r>
        <w:rPr>
          <w:rFonts w:ascii="Garamond" w:hAnsi="Garamond"/>
          <w:smallCaps/>
          <w:color w:val="000000" w:themeColor="text1"/>
        </w:rPr>
        <w:t>Columbia Business Law Review</w:t>
      </w:r>
      <w:r>
        <w:rPr>
          <w:rFonts w:ascii="Garamond" w:hAnsi="Garamond"/>
          <w:color w:val="000000" w:themeColor="text1"/>
        </w:rPr>
        <w:t xml:space="preserve"> 102–199 (2019).</w:t>
      </w:r>
    </w:p>
    <w:p w14:paraId="0B1F217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Forbes, TechCrunch, and Business Law Prof Blog.</w:t>
      </w:r>
    </w:p>
    <w:p w14:paraId="500FC706"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Startup Law of the Startup Nation</w:t>
      </w:r>
      <w:r>
        <w:rPr>
          <w:rFonts w:ascii="Garamond" w:hAnsi="Garamond"/>
          <w:color w:val="000000" w:themeColor="text1"/>
        </w:rPr>
        <w:t xml:space="preserve"> [in Hebrew], 53 </w:t>
      </w:r>
      <w:r>
        <w:rPr>
          <w:rFonts w:ascii="Garamond" w:hAnsi="Garamond"/>
          <w:smallCaps/>
          <w:color w:val="000000" w:themeColor="text1"/>
        </w:rPr>
        <w:t>Mishpatim Law Review</w:t>
      </w:r>
      <w:r>
        <w:rPr>
          <w:rFonts w:ascii="Garamond" w:hAnsi="Garamond"/>
          <w:color w:val="000000" w:themeColor="text1"/>
        </w:rPr>
        <w:t xml:space="preserve"> 115–183 (2024).</w:t>
      </w:r>
    </w:p>
    <w:p w14:paraId="085319EF"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Cited by the Economic Division of the Tel Aviv District Court in CA 41875-01-20 Kaminski v. Ravid (2023), CA 29021-08-20 Tzur v. Empirical Hire (2023), and CA 17248-05-19 TechnoPlus Ventures v. Bioville (2023).</w:t>
      </w:r>
    </w:p>
    <w:p w14:paraId="3E3089E9" w14:textId="4D899CB6" w:rsidR="00747E97" w:rsidRPr="00747E97" w:rsidRDefault="00747E97" w:rsidP="00747E97">
      <w:pPr>
        <w:pStyle w:val="ListParagraph"/>
        <w:numPr>
          <w:ilvl w:val="0"/>
          <w:numId w:val="2"/>
        </w:numPr>
        <w:spacing w:after="160" w:line="259" w:lineRule="auto"/>
        <w:rPr>
          <w:rFonts w:ascii="Garamond" w:eastAsiaTheme="majorEastAsia" w:hAnsi="Garamond" w:cstheme="majorBidi"/>
        </w:rPr>
      </w:pPr>
      <w:r w:rsidRPr="00747E97">
        <w:rPr>
          <w:rFonts w:ascii="Garamond" w:eastAsiaTheme="majorEastAsia" w:hAnsi="Garamond" w:cstheme="majorBidi"/>
          <w:b/>
          <w:bCs/>
        </w:rPr>
        <w:lastRenderedPageBreak/>
        <w:t>Yifat Aran</w:t>
      </w:r>
      <w:r w:rsidRPr="00747E97">
        <w:rPr>
          <w:rFonts w:ascii="Garamond" w:eastAsiaTheme="majorEastAsia" w:hAnsi="Garamond" w:cstheme="majorBidi"/>
        </w:rPr>
        <w:t xml:space="preserve"> &amp; Raviv </w:t>
      </w:r>
      <w:r w:rsidRPr="00747E97">
        <w:rPr>
          <w:rFonts w:ascii="Garamond" w:hAnsi="Garamond" w:cstheme="majorBidi"/>
        </w:rPr>
        <w:t xml:space="preserve">Murciano-Goroff, </w:t>
      </w:r>
      <w:r w:rsidRPr="00747E97">
        <w:rPr>
          <w:rFonts w:ascii="Garamond" w:hAnsi="Garamond" w:cstheme="majorBidi"/>
          <w:i/>
          <w:iCs/>
        </w:rPr>
        <w:t>When It Comes to Compensation, More Equity Isn’t Always Better</w:t>
      </w:r>
      <w:r w:rsidRPr="00747E97">
        <w:rPr>
          <w:rFonts w:ascii="Garamond" w:hAnsi="Garamond" w:cstheme="majorBidi"/>
        </w:rPr>
        <w:t xml:space="preserve">, </w:t>
      </w:r>
      <w:r w:rsidRPr="00747E97">
        <w:rPr>
          <w:rFonts w:ascii="Garamond" w:hAnsi="Garamond" w:cstheme="majorBidi"/>
          <w:smallCaps/>
        </w:rPr>
        <w:t>Harvard Business Review</w:t>
      </w:r>
      <w:r w:rsidRPr="00747E97">
        <w:rPr>
          <w:rFonts w:ascii="Garamond" w:hAnsi="Garamond" w:cstheme="majorBidi"/>
        </w:rPr>
        <w:t xml:space="preserve"> (September 12, 2023).</w:t>
      </w:r>
    </w:p>
    <w:p w14:paraId="771696C0" w14:textId="3DF67E32"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xml:space="preserve">, 24(2) </w:t>
      </w:r>
      <w:r>
        <w:rPr>
          <w:rFonts w:ascii="Garamond" w:hAnsi="Garamond"/>
          <w:smallCaps/>
          <w:color w:val="000000" w:themeColor="text1"/>
        </w:rPr>
        <w:t>Theoretical Inquiries in Law</w:t>
      </w:r>
      <w:r>
        <w:rPr>
          <w:rFonts w:ascii="Garamond" w:hAnsi="Garamond"/>
          <w:color w:val="000000" w:themeColor="text1"/>
        </w:rPr>
        <w:t xml:space="preserve"> 231–263 (2024).</w:t>
      </w:r>
    </w:p>
    <w:p w14:paraId="38A2350B"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Chancery Daily, the Harvard Law School Forum on Corporate Governance, the Boardroom Governance Podcast, and the Boardroom Governance Newsletter.</w:t>
      </w:r>
    </w:p>
    <w:p w14:paraId="41D9B30C"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Equity Illusions</w:t>
      </w:r>
      <w:r>
        <w:rPr>
          <w:rFonts w:ascii="Garamond" w:hAnsi="Garamond"/>
          <w:color w:val="000000" w:themeColor="text1"/>
        </w:rPr>
        <w:t xml:space="preserve">, 41(1) </w:t>
      </w:r>
      <w:r>
        <w:rPr>
          <w:rFonts w:ascii="Garamond" w:hAnsi="Garamond"/>
          <w:smallCaps/>
          <w:color w:val="000000" w:themeColor="text1"/>
        </w:rPr>
        <w:t>Journal of Law, Economics, &amp; Organization</w:t>
      </w:r>
      <w:r>
        <w:rPr>
          <w:rFonts w:ascii="Garamond" w:hAnsi="Garamond"/>
          <w:color w:val="000000" w:themeColor="text1"/>
        </w:rPr>
        <w:t xml:space="preserve"> 196–238 (2025).</w:t>
      </w:r>
    </w:p>
    <w:p w14:paraId="57B6BB35" w14:textId="615154E6"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2024 AOM Employee Participation and Financial Ownership Scholarly Research Award. Featured in The New York Times, Globes, TheMarker, and Tech12.</w:t>
      </w:r>
    </w:p>
    <w:p w14:paraId="1838D705"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Due Diligence Dilemma</w:t>
      </w:r>
      <w:r>
        <w:rPr>
          <w:rFonts w:ascii="Garamond" w:hAnsi="Garamond"/>
          <w:color w:val="000000" w:themeColor="text1"/>
        </w:rPr>
        <w:t xml:space="preserve">, 2025(4) </w:t>
      </w:r>
      <w:r>
        <w:rPr>
          <w:rFonts w:ascii="Garamond" w:hAnsi="Garamond"/>
          <w:smallCaps/>
          <w:color w:val="000000" w:themeColor="text1"/>
        </w:rPr>
        <w:t>University of Illinois Law Review</w:t>
      </w:r>
      <w:r>
        <w:rPr>
          <w:rFonts w:ascii="Garamond" w:hAnsi="Garamond"/>
          <w:color w:val="000000" w:themeColor="text1"/>
        </w:rPr>
        <w:t xml:space="preserve"> 101–144 (2025).</w:t>
      </w:r>
    </w:p>
    <w:p w14:paraId="579D8A78"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CLS Blue Sky Blog.</w:t>
      </w:r>
    </w:p>
    <w:p w14:paraId="51D60B83" w14:textId="77777777" w:rsidR="00445B3A" w:rsidRPr="0029729F" w:rsidRDefault="00000000">
      <w:pPr>
        <w:pStyle w:val="ListParagraph"/>
        <w:numPr>
          <w:ilvl w:val="0"/>
          <w:numId w:val="2"/>
        </w:numPr>
        <w:spacing w:after="120"/>
        <w:rPr>
          <w:rFonts w:ascii="Garamond" w:hAnsi="Garamond"/>
          <w:color w:val="000000" w:themeColor="text1"/>
        </w:rPr>
      </w:pPr>
      <w:r w:rsidRPr="0029729F">
        <w:rPr>
          <w:rFonts w:ascii="Garamond" w:hAnsi="Garamond"/>
          <w:color w:val="000000" w:themeColor="text1"/>
        </w:rPr>
        <w:t xml:space="preserve">Gad Weiss, Kobi Ben-Chitrit, and </w:t>
      </w: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Let it Go: A Comparative Perspective on the Enforceability of Pay-to-Play Provisions</w:t>
      </w:r>
      <w:r w:rsidRPr="0029729F">
        <w:rPr>
          <w:rFonts w:ascii="Garamond" w:hAnsi="Garamond"/>
          <w:color w:val="000000" w:themeColor="text1"/>
        </w:rPr>
        <w:t xml:space="preserve"> [in Hebrew] (forthcoming, </w:t>
      </w:r>
      <w:r w:rsidRPr="0029729F">
        <w:rPr>
          <w:rFonts w:ascii="Garamond" w:hAnsi="Garamond"/>
          <w:smallCaps/>
          <w:color w:val="000000" w:themeColor="text1"/>
        </w:rPr>
        <w:t>TAU Law Review</w:t>
      </w:r>
      <w:r w:rsidRPr="0029729F">
        <w:rPr>
          <w:rFonts w:ascii="Garamond" w:hAnsi="Garamond"/>
          <w:color w:val="000000" w:themeColor="text1"/>
        </w:rPr>
        <w:t xml:space="preserve"> 2026).</w:t>
      </w:r>
    </w:p>
    <w:p w14:paraId="01DFCA7D" w14:textId="0D0FF002" w:rsidR="00747E97" w:rsidRPr="0029729F" w:rsidRDefault="00747E97" w:rsidP="00747E97">
      <w:pPr>
        <w:pStyle w:val="ListParagraph"/>
        <w:numPr>
          <w:ilvl w:val="0"/>
          <w:numId w:val="2"/>
        </w:numPr>
        <w:spacing w:after="160" w:line="259" w:lineRule="auto"/>
        <w:rPr>
          <w:rFonts w:asciiTheme="majorBidi" w:hAnsiTheme="majorBidi" w:cstheme="majorBidi"/>
        </w:rPr>
      </w:pP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Shared Capitalism at a Crossroads: Equity Compensation and Factor Bargaining Power in the Innovation Economy</w:t>
      </w:r>
      <w:r w:rsidRPr="0029729F">
        <w:rPr>
          <w:rFonts w:ascii="Garamond" w:hAnsi="Garamond"/>
          <w:color w:val="000000" w:themeColor="text1"/>
        </w:rPr>
        <w:t xml:space="preserve"> (</w:t>
      </w:r>
      <w:r w:rsidRPr="0029729F">
        <w:rPr>
          <w:rFonts w:ascii="Garamond" w:hAnsi="Garamond"/>
          <w:smallCaps/>
          <w:color w:val="000000" w:themeColor="text1"/>
        </w:rPr>
        <w:t>International Review of Applied Economics</w:t>
      </w:r>
      <w:r w:rsidR="004A6751" w:rsidRPr="0029729F">
        <w:rPr>
          <w:rFonts w:ascii="Garamond" w:hAnsi="Garamond"/>
          <w:smallCaps/>
          <w:color w:val="000000" w:themeColor="text1"/>
        </w:rPr>
        <w:t xml:space="preserve"> 2026</w:t>
      </w:r>
      <w:r w:rsidRPr="0029729F">
        <w:rPr>
          <w:rFonts w:ascii="Garamond" w:hAnsi="Garamond"/>
          <w:color w:val="000000" w:themeColor="text1"/>
        </w:rPr>
        <w:t xml:space="preserve">). </w:t>
      </w:r>
    </w:p>
    <w:p w14:paraId="1E5FA900" w14:textId="0C11C3E5" w:rsidR="006E6C34" w:rsidRPr="006E6C34" w:rsidRDefault="006E6C34" w:rsidP="006E6C34">
      <w:pPr>
        <w:pStyle w:val="ListParagraph"/>
        <w:numPr>
          <w:ilvl w:val="0"/>
          <w:numId w:val="2"/>
        </w:numPr>
        <w:spacing w:after="80"/>
        <w:rPr>
          <w:rFonts w:ascii="Garamond" w:hAnsi="Garamond"/>
          <w:color w:val="000000" w:themeColor="text1"/>
        </w:rPr>
      </w:pPr>
      <w:r w:rsidRPr="0029729F">
        <w:rPr>
          <w:rFonts w:ascii="Garamond" w:hAnsi="Garamond"/>
          <w:b/>
          <w:bCs/>
          <w:color w:val="000000" w:themeColor="text1"/>
        </w:rPr>
        <w:t>Yifat Aran</w:t>
      </w:r>
      <w:r w:rsidRPr="006E6C34">
        <w:rPr>
          <w:rFonts w:ascii="Garamond" w:hAnsi="Garamond"/>
          <w:color w:val="000000" w:themeColor="text1"/>
        </w:rPr>
        <w:t xml:space="preserve">, Brian Broughman, and Elizabeth Pollman, </w:t>
      </w:r>
      <w:r w:rsidRPr="006E6C34">
        <w:rPr>
          <w:rFonts w:ascii="Garamond" w:hAnsi="Garamond"/>
          <w:i/>
          <w:iCs/>
          <w:color w:val="000000" w:themeColor="text1"/>
        </w:rPr>
        <w:t>Exit after Exit</w:t>
      </w:r>
      <w:r w:rsidRPr="006E6C34">
        <w:rPr>
          <w:rFonts w:ascii="Garamond" w:hAnsi="Garamond"/>
          <w:color w:val="000000" w:themeColor="text1"/>
        </w:rPr>
        <w:t xml:space="preserve"> (forthcoming, Harvard Business Law Review</w:t>
      </w:r>
      <w:r w:rsidR="001137F4">
        <w:rPr>
          <w:rFonts w:ascii="Garamond" w:hAnsi="Garamond"/>
          <w:color w:val="000000" w:themeColor="text1"/>
        </w:rPr>
        <w:t xml:space="preserve"> 2027</w:t>
      </w:r>
      <w:r w:rsidRPr="006E6C34">
        <w:rPr>
          <w:rFonts w:ascii="Garamond" w:hAnsi="Garamond"/>
          <w:color w:val="000000" w:themeColor="text1"/>
        </w:rPr>
        <w:t xml:space="preserve">). </w:t>
      </w:r>
    </w:p>
    <w:p w14:paraId="1B848C57" w14:textId="77777777" w:rsidR="00445B3A" w:rsidRPr="00485ACE" w:rsidRDefault="00000000">
      <w:pPr>
        <w:pStyle w:val="Heading2"/>
        <w:rPr>
          <w:rFonts w:ascii="Garamond" w:hAnsi="Garamond"/>
          <w:color w:val="000000" w:themeColor="text1"/>
        </w:rPr>
      </w:pPr>
      <w:r>
        <w:rPr>
          <w:rFonts w:ascii="Garamond" w:hAnsi="Garamond"/>
          <w:color w:val="000000" w:themeColor="text1"/>
        </w:rPr>
        <w:t>Chapters in Edited Volumes</w:t>
      </w:r>
    </w:p>
    <w:p w14:paraId="4708A0B9"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Moran Ofir, </w:t>
      </w:r>
      <w:r>
        <w:rPr>
          <w:rFonts w:ascii="Garamond" w:hAnsi="Garamond"/>
          <w:i/>
          <w:iCs/>
          <w:color w:val="000000" w:themeColor="text1"/>
        </w:rPr>
        <w:t>The Effect of Specialized Court over Time</w:t>
      </w:r>
      <w:r>
        <w:rPr>
          <w:rFonts w:ascii="Garamond" w:hAnsi="Garamond"/>
          <w:color w:val="000000" w:themeColor="text1"/>
        </w:rPr>
        <w:t xml:space="preserve">, in </w:t>
      </w:r>
      <w:r>
        <w:rPr>
          <w:rFonts w:ascii="Garamond" w:hAnsi="Garamond"/>
          <w:smallCaps/>
          <w:color w:val="000000" w:themeColor="text1"/>
        </w:rPr>
        <w:t>Time, Law and Change: An Interdisciplinary Study</w:t>
      </w:r>
      <w:r>
        <w:rPr>
          <w:rFonts w:ascii="Garamond" w:hAnsi="Garamond"/>
          <w:color w:val="000000" w:themeColor="text1"/>
        </w:rPr>
        <w:t xml:space="preserve"> 167–188 (Sofia Ranchordas &amp; Yaniv Roznai eds., Hart Publishing, 2020).</w:t>
      </w:r>
    </w:p>
    <w:p w14:paraId="12CCB1F0"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Earlier draft cited by the Economic Division in Tel Aviv District Court in CA 5136-07-21 Hagshama v. Wisner (2021).</w:t>
      </w:r>
    </w:p>
    <w:p w14:paraId="310ABF1C"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RSU Time Bomb: Regulating Startup Equity Compensation in the Unicorn Era</w:t>
      </w:r>
      <w:r>
        <w:rPr>
          <w:rFonts w:ascii="Garamond" w:hAnsi="Garamond"/>
          <w:color w:val="000000" w:themeColor="text1"/>
        </w:rPr>
        <w:t xml:space="preserve">, in </w:t>
      </w:r>
      <w:r>
        <w:rPr>
          <w:rFonts w:ascii="Garamond" w:hAnsi="Garamond"/>
          <w:smallCaps/>
          <w:color w:val="000000" w:themeColor="text1"/>
        </w:rPr>
        <w:t>Research Handbook on PE/VC</w:t>
      </w:r>
      <w:r>
        <w:rPr>
          <w:rFonts w:ascii="Garamond" w:hAnsi="Garamond"/>
          <w:color w:val="000000" w:themeColor="text1"/>
        </w:rPr>
        <w:t xml:space="preserve"> (Brian Broughman &amp; Elisabeth de Fontenay eds., 2026).</w:t>
      </w:r>
    </w:p>
    <w:p w14:paraId="04527037" w14:textId="77777777" w:rsidR="00445B3A" w:rsidRPr="00485ACE" w:rsidRDefault="00000000">
      <w:pPr>
        <w:pStyle w:val="Heading2"/>
        <w:rPr>
          <w:rFonts w:ascii="Garamond" w:hAnsi="Garamond"/>
          <w:color w:val="000000" w:themeColor="text1"/>
        </w:rPr>
      </w:pPr>
      <w:r>
        <w:rPr>
          <w:rFonts w:ascii="Garamond" w:hAnsi="Garamond"/>
          <w:color w:val="000000" w:themeColor="text1"/>
        </w:rPr>
        <w:t>Other Publications</w:t>
      </w:r>
    </w:p>
    <w:p w14:paraId="69A795B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SEC should do more to make startup equity compensation transparent</w:t>
      </w:r>
      <w:r>
        <w:rPr>
          <w:rFonts w:ascii="Garamond" w:hAnsi="Garamond"/>
          <w:color w:val="000000" w:themeColor="text1"/>
        </w:rPr>
        <w:t>, TechCrunch (April 24, 2021).</w:t>
      </w:r>
    </w:p>
    <w:p w14:paraId="5D268B7A" w14:textId="77777777" w:rsidR="00445B3A"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A new coalition for “Open Cap Table” presents an opportunity for equity transparency</w:t>
      </w:r>
      <w:r>
        <w:rPr>
          <w:rFonts w:ascii="Garamond" w:hAnsi="Garamond"/>
          <w:color w:val="000000" w:themeColor="text1"/>
        </w:rPr>
        <w:t>, TechCrunch (August 29, 2021).</w:t>
      </w:r>
    </w:p>
    <w:p w14:paraId="4EEFA40D" w14:textId="77777777" w:rsidR="0030252E" w:rsidRPr="00485ACE" w:rsidRDefault="0030252E" w:rsidP="0030252E">
      <w:pPr>
        <w:pStyle w:val="ListParagraph"/>
        <w:numPr>
          <w:ilvl w:val="0"/>
          <w:numId w:val="4"/>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When It Comes to Compensation, More Equity Isn’t Always Better</w:t>
      </w:r>
      <w:r>
        <w:rPr>
          <w:rFonts w:ascii="Garamond" w:hAnsi="Garamond"/>
          <w:color w:val="000000" w:themeColor="text1"/>
        </w:rPr>
        <w:t xml:space="preserve">, </w:t>
      </w:r>
      <w:r>
        <w:rPr>
          <w:rFonts w:ascii="Garamond" w:hAnsi="Garamond"/>
          <w:smallCaps/>
          <w:color w:val="000000" w:themeColor="text1"/>
        </w:rPr>
        <w:t>Harvard Business Review</w:t>
      </w:r>
      <w:r>
        <w:rPr>
          <w:rFonts w:ascii="Garamond" w:hAnsi="Garamond"/>
          <w:color w:val="000000" w:themeColor="text1"/>
        </w:rPr>
        <w:t xml:space="preserve"> (September 12, 2023).</w:t>
      </w:r>
    </w:p>
    <w:p w14:paraId="2AC1C1E8"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Harvard Law School Forum on Corporate Governance (November 29, 2023).</w:t>
      </w:r>
    </w:p>
    <w:p w14:paraId="66389B0D"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Regulating Startup Equity Compensation in the Unicorn Era</w:t>
      </w:r>
      <w:r>
        <w:rPr>
          <w:rFonts w:ascii="Garamond" w:hAnsi="Garamond"/>
          <w:color w:val="000000" w:themeColor="text1"/>
        </w:rPr>
        <w:t>, Oxford Business Law Blog (February 5, 2024).</w:t>
      </w:r>
    </w:p>
    <w:p w14:paraId="24A11D49"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&amp; Elizabeth Pollman, </w:t>
      </w:r>
      <w:r>
        <w:rPr>
          <w:rFonts w:ascii="Garamond" w:hAnsi="Garamond"/>
          <w:i/>
          <w:iCs/>
          <w:color w:val="000000" w:themeColor="text1"/>
        </w:rPr>
        <w:t>CEO Turnover at Dual-Class Firms</w:t>
      </w:r>
      <w:r>
        <w:rPr>
          <w:rFonts w:ascii="Garamond" w:hAnsi="Garamond"/>
          <w:color w:val="000000" w:themeColor="text1"/>
        </w:rPr>
        <w:t>, Harvard Law School Forum on Corporate Governance (January 30, 2025).</w:t>
      </w:r>
    </w:p>
    <w:p w14:paraId="53ED5202"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When Venture Capital’s Speed Runs Ahead of Its Due Diligence</w:t>
      </w:r>
      <w:r>
        <w:rPr>
          <w:rFonts w:ascii="Garamond" w:hAnsi="Garamond"/>
          <w:color w:val="000000" w:themeColor="text1"/>
        </w:rPr>
        <w:t>, CLS Blue Sky Blog (July 17, 2025).</w:t>
      </w:r>
    </w:p>
    <w:p w14:paraId="5270046C"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Casimiro Nigro, </w:t>
      </w:r>
      <w:r>
        <w:rPr>
          <w:rFonts w:ascii="Garamond" w:hAnsi="Garamond"/>
          <w:i/>
          <w:iCs/>
          <w:color w:val="000000" w:themeColor="text1"/>
        </w:rPr>
        <w:t>E.U. Stock Option Policy: Time to Look Beyond Taxation</w:t>
      </w:r>
      <w:r>
        <w:rPr>
          <w:rFonts w:ascii="Garamond" w:hAnsi="Garamond"/>
          <w:color w:val="000000" w:themeColor="text1"/>
        </w:rPr>
        <w:t>, Oxford Business Law Blog (January 2026).</w:t>
      </w:r>
    </w:p>
    <w:p w14:paraId="6A4B8D3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What Brazil Reveals About the Limits of Venture Capital Contract Transplants</w:t>
      </w:r>
      <w:r>
        <w:rPr>
          <w:rFonts w:ascii="Garamond" w:hAnsi="Garamond"/>
          <w:color w:val="000000" w:themeColor="text1"/>
        </w:rPr>
        <w:t>, ECGI Blog (April 27, 2026).</w:t>
      </w:r>
    </w:p>
    <w:p w14:paraId="2E667A14" w14:textId="77777777" w:rsidR="00445B3A" w:rsidRPr="00485ACE" w:rsidRDefault="00000000">
      <w:pPr>
        <w:pStyle w:val="Heading2"/>
        <w:rPr>
          <w:rFonts w:ascii="Garamond" w:hAnsi="Garamond"/>
          <w:color w:val="000000" w:themeColor="text1"/>
        </w:rPr>
      </w:pPr>
      <w:r>
        <w:rPr>
          <w:rFonts w:ascii="Garamond" w:hAnsi="Garamond"/>
          <w:color w:val="000000" w:themeColor="text1"/>
        </w:rPr>
        <w:t>Under Review / Revise &amp; Resubmit</w:t>
      </w:r>
    </w:p>
    <w:p w14:paraId="2C6618C0" w14:textId="208CC5E9" w:rsidR="00445B3A" w:rsidRDefault="00000000">
      <w:pPr>
        <w:pStyle w:val="ListParagraph"/>
        <w:numPr>
          <w:ilvl w:val="0"/>
          <w:numId w:val="5"/>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and Elizabeth Pollman, </w:t>
      </w:r>
      <w:r>
        <w:rPr>
          <w:rFonts w:ascii="Garamond" w:hAnsi="Garamond"/>
          <w:i/>
          <w:iCs/>
          <w:color w:val="000000" w:themeColor="text1"/>
        </w:rPr>
        <w:t>CEO Turnover at Dual Class Firms</w:t>
      </w:r>
      <w:r>
        <w:rPr>
          <w:rFonts w:ascii="Garamond" w:hAnsi="Garamond"/>
          <w:color w:val="000000" w:themeColor="text1"/>
        </w:rPr>
        <w:t xml:space="preserve"> (R&amp;R, </w:t>
      </w:r>
      <w:r>
        <w:rPr>
          <w:rFonts w:ascii="Garamond" w:hAnsi="Garamond"/>
          <w:smallCaps/>
          <w:color w:val="000000" w:themeColor="text1"/>
        </w:rPr>
        <w:t>The Journal of Legal Studies</w:t>
      </w:r>
      <w:r>
        <w:rPr>
          <w:rFonts w:ascii="Garamond" w:hAnsi="Garamond"/>
          <w:color w:val="000000" w:themeColor="text1"/>
        </w:rPr>
        <w:t>).</w:t>
      </w:r>
      <w:r w:rsidR="00863AEC">
        <w:rPr>
          <w:rFonts w:ascii="Garamond" w:hAnsi="Garamond"/>
          <w:color w:val="000000" w:themeColor="text1"/>
        </w:rPr>
        <w:br/>
      </w:r>
      <w:r w:rsidR="00863AEC">
        <w:rPr>
          <w:rFonts w:ascii="Garamond" w:hAnsi="Garamond"/>
          <w:color w:val="000000" w:themeColor="text1"/>
        </w:rPr>
        <w:br/>
      </w:r>
      <w:r w:rsidR="00863AEC">
        <w:rPr>
          <w:rFonts w:ascii="Garamond" w:hAnsi="Garamond"/>
          <w:color w:val="000000" w:themeColor="text1"/>
        </w:rPr>
        <w:br/>
      </w:r>
    </w:p>
    <w:p w14:paraId="65A7B862" w14:textId="2383B30C" w:rsidR="00445B3A" w:rsidRPr="00485ACE" w:rsidRDefault="00000000">
      <w:pPr>
        <w:pStyle w:val="Heading1"/>
        <w:rPr>
          <w:rFonts w:ascii="Garamond" w:hAnsi="Garamond"/>
          <w:color w:val="000000" w:themeColor="text1"/>
        </w:rPr>
      </w:pPr>
      <w:r>
        <w:rPr>
          <w:rFonts w:ascii="Garamond" w:hAnsi="Garamond"/>
          <w:color w:val="000000" w:themeColor="text1"/>
        </w:rPr>
        <w:lastRenderedPageBreak/>
        <w:t>FELLOWSHIPS</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2025–present Fellow, The Project on Israel and the Regional Economy, Harvard Business School</w:t>
      </w:r>
    </w:p>
    <w:p w14:paraId="27B2EC9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w:t>
      </w:r>
      <w:r>
        <w:rPr>
          <w:rFonts w:ascii="Garamond" w:hAnsi="Garamond"/>
          <w:color w:val="000000" w:themeColor="text1"/>
        </w:rPr>
        <w:tab/>
        <w:t>Nachson and Arieh Mimran Fellowship, Institute for the Study of Employee Ownership and Profit Sharing, Rutgers University</w:t>
      </w:r>
    </w:p>
    <w:p w14:paraId="2454EE45"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2022–2023</w:t>
      </w:r>
      <w:r>
        <w:rPr>
          <w:rFonts w:ascii="Garamond" w:hAnsi="Garamond"/>
          <w:color w:val="000000" w:themeColor="text1"/>
        </w:rPr>
        <w:tab/>
        <w:t>Fellowship, Institute for the Study of Employee Ownership and Profit Sharing, Rutgers University</w:t>
      </w:r>
    </w:p>
    <w:p w14:paraId="694595F8"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w:t>
      </w:r>
      <w:r>
        <w:rPr>
          <w:rFonts w:ascii="Garamond" w:hAnsi="Garamond"/>
          <w:color w:val="000000" w:themeColor="text1"/>
        </w:rPr>
        <w:tab/>
        <w:t>Summer Fellowship, Center for Advanced Studies on the Foundations of Law and Finance (LawFin), Goethe University Frankfurt</w:t>
      </w:r>
    </w:p>
    <w:p w14:paraId="2D974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2017–2020</w:t>
      </w:r>
      <w:r>
        <w:rPr>
          <w:rFonts w:ascii="Garamond" w:hAnsi="Garamond"/>
          <w:color w:val="000000" w:themeColor="text1"/>
        </w:rPr>
        <w:tab/>
        <w:t>Donna Schweers and Thomas Geiser Interdisciplinary Graduate Fellowship (SIGF), Stanford University</w:t>
      </w:r>
    </w:p>
    <w:p w14:paraId="4F5AC8B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M. Olin Fellow in Law and Economics, Stanford Law School</w:t>
      </w:r>
    </w:p>
    <w:p w14:paraId="162A3D7C" w14:textId="77777777" w:rsidR="00445B3A" w:rsidRPr="00485ACE" w:rsidRDefault="00000000">
      <w:pPr>
        <w:pStyle w:val="Heading1"/>
        <w:rPr>
          <w:rFonts w:ascii="Garamond" w:hAnsi="Garamond"/>
          <w:color w:val="000000" w:themeColor="text1"/>
        </w:rPr>
      </w:pPr>
      <w:r>
        <w:rPr>
          <w:rFonts w:ascii="Garamond" w:hAnsi="Garamond"/>
          <w:color w:val="000000" w:themeColor="text1"/>
        </w:rPr>
        <w:t>AWARDS, HONORS &amp; SCHOLARSHIPS</w:t>
      </w:r>
    </w:p>
    <w:p w14:paraId="415D09BE" w14:textId="69F532CA" w:rsidR="008048DB" w:rsidRDefault="008048DB" w:rsidP="00406FC3">
      <w:pPr>
        <w:tabs>
          <w:tab w:val="left" w:pos="1800"/>
        </w:tabs>
        <w:spacing w:after="60"/>
        <w:ind w:left="1418" w:hanging="1418"/>
        <w:rPr>
          <w:rFonts w:ascii="Garamond" w:hAnsi="Garamond"/>
          <w:b/>
          <w:bCs/>
          <w:color w:val="000000" w:themeColor="text1"/>
        </w:rPr>
      </w:pPr>
      <w:r>
        <w:rPr>
          <w:rFonts w:ascii="Garamond" w:hAnsi="Garamond"/>
          <w:b/>
          <w:bCs/>
          <w:color w:val="000000" w:themeColor="text1"/>
        </w:rPr>
        <w:t xml:space="preserve">2026 </w:t>
      </w:r>
      <w:r>
        <w:rPr>
          <w:rFonts w:ascii="Garamond" w:hAnsi="Garamond"/>
          <w:b/>
          <w:bCs/>
          <w:color w:val="000000" w:themeColor="text1"/>
        </w:rPr>
        <w:tab/>
      </w:r>
      <w:r w:rsidR="001679F5" w:rsidRPr="001679F5">
        <w:rPr>
          <w:rFonts w:ascii="Garamond" w:hAnsi="Garamond"/>
          <w:color w:val="000000" w:themeColor="text1"/>
        </w:rPr>
        <w:t>Annual Research Award</w:t>
      </w:r>
      <w:r w:rsidR="001679F5">
        <w:rPr>
          <w:rFonts w:ascii="Garamond" w:hAnsi="Garamond"/>
          <w:color w:val="000000" w:themeColor="text1"/>
        </w:rPr>
        <w:t xml:space="preserve">, </w:t>
      </w:r>
      <w:r w:rsidR="001679F5" w:rsidRPr="001679F5">
        <w:rPr>
          <w:rFonts w:ascii="Garamond" w:hAnsi="Garamond"/>
          <w:color w:val="000000" w:themeColor="text1"/>
        </w:rPr>
        <w:t>The University of Haifa</w:t>
      </w:r>
      <w:r w:rsidR="001679F5">
        <w:rPr>
          <w:rFonts w:ascii="Garamond" w:hAnsi="Garamond"/>
          <w:color w:val="000000" w:themeColor="text1"/>
        </w:rPr>
        <w:t xml:space="preserve"> (</w:t>
      </w:r>
      <w:r w:rsidR="001679F5" w:rsidRPr="001679F5">
        <w:rPr>
          <w:rFonts w:ascii="Garamond" w:hAnsi="Garamond"/>
          <w:color w:val="000000" w:themeColor="text1"/>
        </w:rPr>
        <w:t>granted to the top 18% of most productive researchers across schools and departments</w:t>
      </w:r>
      <w:r w:rsidR="001679F5">
        <w:rPr>
          <w:rFonts w:ascii="Garamond" w:hAnsi="Garamond"/>
          <w:color w:val="000000" w:themeColor="text1"/>
        </w:rPr>
        <w:t>).</w:t>
      </w:r>
    </w:p>
    <w:p w14:paraId="777D2C6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Shneior Zalman Heshin Prize for Young Scholar, The Hebrew University of Jerusalem</w:t>
      </w:r>
    </w:p>
    <w:p w14:paraId="181CE8F3"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Employee Participation and Financial Ownership Scholarly Research Award, Academy of Management (AOM) HR Division (with Raviv Murciano-Goroff)</w:t>
      </w:r>
    </w:p>
    <w:p w14:paraId="2821660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Etty &amp; Dusty Miller Award for Outstanding Research, University of Haifa</w:t>
      </w:r>
    </w:p>
    <w:p w14:paraId="1EAC65B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Hart Ely Prize in Law and Economics, Stanford Law School</w:t>
      </w:r>
    </w:p>
    <w:p w14:paraId="56C7F04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Intellectual Property Writing Award, Stanford Law School</w:t>
      </w:r>
    </w:p>
    <w:p w14:paraId="68D2C8E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2016–2018</w:t>
      </w:r>
      <w:r>
        <w:rPr>
          <w:rFonts w:ascii="Garamond" w:hAnsi="Garamond"/>
          <w:color w:val="000000" w:themeColor="text1"/>
        </w:rPr>
        <w:tab/>
        <w:t>International Peace Scholarship, P.E.O. International Sisterhood</w:t>
      </w:r>
    </w:p>
    <w:p w14:paraId="797331F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2015–2020</w:t>
      </w:r>
      <w:r>
        <w:rPr>
          <w:rFonts w:ascii="Garamond" w:hAnsi="Garamond"/>
          <w:color w:val="000000" w:themeColor="text1"/>
        </w:rPr>
        <w:tab/>
        <w:t>E. David Fischman Scholarship</w:t>
      </w:r>
    </w:p>
    <w:p w14:paraId="5351CDD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w:t>
      </w:r>
      <w:r>
        <w:rPr>
          <w:rFonts w:ascii="Garamond" w:hAnsi="Garamond"/>
          <w:color w:val="000000" w:themeColor="text1"/>
        </w:rPr>
        <w:tab/>
        <w:t>Gerald Gunther Prize for Outstanding Performance in Modern American Legal Thought, Stanford Law School</w:t>
      </w:r>
    </w:p>
    <w:p w14:paraId="04519E0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2014 &amp; 2019</w:t>
      </w:r>
      <w:r>
        <w:rPr>
          <w:rFonts w:ascii="Garamond" w:hAnsi="Garamond"/>
          <w:color w:val="000000" w:themeColor="text1"/>
        </w:rPr>
        <w:tab/>
        <w:t>Decalogue Fund Scholarship, Hebrew University Law School</w:t>
      </w:r>
    </w:p>
    <w:p w14:paraId="4A28108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 &amp; 2017</w:t>
      </w:r>
      <w:r>
        <w:rPr>
          <w:rFonts w:ascii="Garamond" w:hAnsi="Garamond"/>
          <w:color w:val="000000" w:themeColor="text1"/>
        </w:rPr>
        <w:tab/>
        <w:t>Lamas Fund Scholarship, Hebrew University</w:t>
      </w:r>
    </w:p>
    <w:p w14:paraId="7E0E649A"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2017–2018</w:t>
      </w:r>
      <w:r>
        <w:rPr>
          <w:rFonts w:ascii="Garamond" w:hAnsi="Garamond"/>
          <w:color w:val="000000" w:themeColor="text1"/>
        </w:rPr>
        <w:tab/>
        <w:t>Silvan Cohen Fund Scholarship, Hebrew University Law School</w:t>
      </w:r>
    </w:p>
    <w:p w14:paraId="09366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2010</w:t>
      </w:r>
      <w:r>
        <w:rPr>
          <w:rFonts w:ascii="Garamond" w:hAnsi="Garamond"/>
          <w:color w:val="000000" w:themeColor="text1"/>
        </w:rPr>
        <w:tab/>
        <w:t>Lionel Cohen Award (Class Valedictorian), Hebrew University Law School</w:t>
      </w:r>
    </w:p>
    <w:p w14:paraId="063AF782"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2009</w:t>
      </w:r>
      <w:r>
        <w:rPr>
          <w:rFonts w:ascii="Garamond" w:hAnsi="Garamond"/>
          <w:color w:val="000000" w:themeColor="text1"/>
        </w:rPr>
        <w:tab/>
        <w:t>Wolf Foundation Award for Academic Excellence, Hebrew University</w:t>
      </w:r>
    </w:p>
    <w:p w14:paraId="1F35E8E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2008</w:t>
      </w:r>
      <w:r>
        <w:rPr>
          <w:rFonts w:ascii="Garamond" w:hAnsi="Garamond"/>
          <w:color w:val="000000" w:themeColor="text1"/>
        </w:rPr>
        <w:tab/>
        <w:t>Eisenberg Award for Outstanding Law Student, Hebrew University</w:t>
      </w:r>
    </w:p>
    <w:p w14:paraId="7233D17B" w14:textId="77777777" w:rsidR="00445B3A" w:rsidRPr="00485ACE" w:rsidRDefault="00000000">
      <w:pPr>
        <w:pStyle w:val="Heading1"/>
        <w:rPr>
          <w:rFonts w:ascii="Garamond" w:hAnsi="Garamond"/>
          <w:color w:val="000000" w:themeColor="text1"/>
        </w:rPr>
      </w:pPr>
      <w:r>
        <w:rPr>
          <w:rFonts w:ascii="Garamond" w:hAnsi="Garamond"/>
          <w:color w:val="000000" w:themeColor="text1"/>
        </w:rPr>
        <w:t>RESEARCH GRANTS</w:t>
      </w:r>
    </w:p>
    <w:p w14:paraId="7BE3F9E2"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 xml:space="preserve">PI. </w:t>
      </w:r>
      <w:r>
        <w:rPr>
          <w:rFonts w:ascii="Garamond" w:hAnsi="Garamond"/>
          <w:i/>
          <w:iCs/>
          <w:color w:val="000000" w:themeColor="text1"/>
        </w:rPr>
        <w:t>Theoretical and Comparative Analysis of Startup Ownership</w:t>
      </w:r>
      <w:r>
        <w:rPr>
          <w:rFonts w:ascii="Garamond" w:hAnsi="Garamond"/>
          <w:color w:val="000000" w:themeColor="text1"/>
        </w:rPr>
        <w:t>. Israeli Science Foundation (ISF). ₪561,000.</w:t>
      </w:r>
    </w:p>
    <w:p w14:paraId="73F64597"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 xml:space="preserve">Co-PI. </w:t>
      </w:r>
      <w:r>
        <w:rPr>
          <w:rFonts w:ascii="Garamond" w:hAnsi="Garamond"/>
          <w:i/>
          <w:iCs/>
          <w:color w:val="000000" w:themeColor="text1"/>
        </w:rPr>
        <w:t>Secondary Sales of Startup Employee Stock in the US and Israel (with Brian Broughman)</w:t>
      </w:r>
      <w:r>
        <w:rPr>
          <w:rFonts w:ascii="Garamond" w:hAnsi="Garamond"/>
          <w:color w:val="000000" w:themeColor="text1"/>
        </w:rPr>
        <w:t>. Vanderbilt University. $10,000.</w:t>
      </w:r>
    </w:p>
    <w:p w14:paraId="49D8A0AD"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 xml:space="preserve">PI. </w:t>
      </w:r>
      <w:r>
        <w:rPr>
          <w:rFonts w:ascii="Garamond" w:hAnsi="Garamond"/>
          <w:i/>
          <w:iCs/>
          <w:color w:val="000000" w:themeColor="text1"/>
        </w:rPr>
        <w:t>Indefinitely Private</w:t>
      </w:r>
      <w:r>
        <w:rPr>
          <w:rFonts w:ascii="Garamond" w:hAnsi="Garamond"/>
          <w:color w:val="000000" w:themeColor="text1"/>
        </w:rPr>
        <w:t>. Haifa University International Collaboration Fund. $10,000.</w:t>
      </w:r>
    </w:p>
    <w:p w14:paraId="1698D934" w14:textId="77777777" w:rsidR="00445B3A" w:rsidRPr="00485ACE" w:rsidRDefault="00000000">
      <w:pPr>
        <w:pStyle w:val="Heading2"/>
        <w:rPr>
          <w:rFonts w:ascii="Garamond" w:hAnsi="Garamond"/>
          <w:color w:val="000000" w:themeColor="text1"/>
        </w:rPr>
      </w:pPr>
      <w:r>
        <w:rPr>
          <w:rFonts w:ascii="Garamond" w:hAnsi="Garamond"/>
          <w:color w:val="000000" w:themeColor="text1"/>
        </w:rPr>
        <w:t>Pending</w:t>
      </w:r>
    </w:p>
    <w:p w14:paraId="00D156E4"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2026–2029  </w:t>
      </w:r>
      <w:r>
        <w:rPr>
          <w:rFonts w:ascii="Garamond" w:hAnsi="Garamond"/>
          <w:color w:val="000000" w:themeColor="text1"/>
        </w:rPr>
        <w:t xml:space="preserve">PI. </w:t>
      </w:r>
      <w:r>
        <w:rPr>
          <w:rFonts w:ascii="Garamond" w:hAnsi="Garamond"/>
          <w:i/>
          <w:iCs/>
          <w:color w:val="000000" w:themeColor="text1"/>
        </w:rPr>
        <w:t>Liquidity Without Listing: The Legal and Institutional Infrastructure of Private Capital Markets</w:t>
      </w:r>
      <w:r>
        <w:rPr>
          <w:rFonts w:ascii="Garamond" w:hAnsi="Garamond"/>
          <w:color w:val="000000" w:themeColor="text1"/>
        </w:rPr>
        <w:t>. ISF.</w:t>
      </w:r>
    </w:p>
    <w:p w14:paraId="79FF28BD" w14:textId="77777777" w:rsidR="00445B3A" w:rsidRPr="00485ACE" w:rsidRDefault="00000000">
      <w:pPr>
        <w:pStyle w:val="Heading1"/>
        <w:rPr>
          <w:rFonts w:ascii="Garamond" w:hAnsi="Garamond"/>
          <w:color w:val="000000" w:themeColor="text1"/>
        </w:rPr>
      </w:pPr>
      <w:r>
        <w:rPr>
          <w:rFonts w:ascii="Garamond" w:hAnsi="Garamond"/>
          <w:color w:val="000000" w:themeColor="text1"/>
        </w:rPr>
        <w:t>TEACHING</w:t>
      </w:r>
    </w:p>
    <w:p w14:paraId="4CCAD88A"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(Mandatory)</w:t>
      </w:r>
      <w:r>
        <w:rPr>
          <w:rFonts w:ascii="Garamond" w:hAnsi="Garamond"/>
          <w:color w:val="000000" w:themeColor="text1"/>
        </w:rPr>
        <w:t xml:space="preserve"> (LLB), University of Haifa</w:t>
      </w:r>
      <w:r>
        <w:rPr>
          <w:rFonts w:ascii="Garamond" w:hAnsi="Garamond"/>
          <w:color w:val="000000" w:themeColor="text1"/>
        </w:rPr>
        <w:tab/>
        <w:t>2021–present</w:t>
      </w:r>
    </w:p>
    <w:p w14:paraId="1CE21182" w14:textId="7F36E6CD"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Law and Entrepreneurship (Seminar)</w:t>
      </w:r>
      <w:r>
        <w:rPr>
          <w:rFonts w:ascii="Garamond" w:hAnsi="Garamond"/>
          <w:color w:val="000000" w:themeColor="text1"/>
        </w:rPr>
        <w:t xml:space="preserve"> (LLB), University of Haifa</w:t>
      </w:r>
      <w:r>
        <w:rPr>
          <w:rFonts w:ascii="Garamond" w:hAnsi="Garamond"/>
          <w:color w:val="000000" w:themeColor="text1"/>
        </w:rPr>
        <w:tab/>
        <w:t>2022</w:t>
      </w:r>
      <w:r w:rsidR="002C2F52">
        <w:rPr>
          <w:rFonts w:ascii="Garamond" w:hAnsi="Garamond"/>
          <w:color w:val="000000" w:themeColor="text1"/>
        </w:rPr>
        <w:t>, 2026</w:t>
      </w:r>
    </w:p>
    <w:p w14:paraId="27C666DE" w14:textId="11FAF8E8"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Entrepreneurship and Regulation</w:t>
      </w:r>
      <w:r>
        <w:rPr>
          <w:rFonts w:ascii="Garamond" w:hAnsi="Garamond"/>
          <w:color w:val="000000" w:themeColor="text1"/>
        </w:rPr>
        <w:t xml:space="preserve"> (MBA), Technion </w:t>
      </w:r>
      <w:r>
        <w:rPr>
          <w:rFonts w:ascii="Garamond" w:hAnsi="Garamond"/>
          <w:color w:val="000000" w:themeColor="text1"/>
        </w:rPr>
        <w:tab/>
        <w:t>2022–2023</w:t>
      </w:r>
    </w:p>
    <w:p w14:paraId="4C3176DD" w14:textId="476965FF" w:rsidR="00445B3A" w:rsidRPr="00485ACE" w:rsidRDefault="00000000" w:rsidP="008C78BB">
      <w:pPr>
        <w:tabs>
          <w:tab w:val="right" w:pos="9026"/>
        </w:tabs>
        <w:spacing w:after="60"/>
        <w:rPr>
          <w:rFonts w:ascii="Garamond" w:hAnsi="Garamond"/>
          <w:color w:val="000000" w:themeColor="text1"/>
        </w:rPr>
      </w:pPr>
      <w:r>
        <w:rPr>
          <w:rFonts w:ascii="Garamond" w:hAnsi="Garamond"/>
          <w:b/>
          <w:bCs/>
          <w:color w:val="000000" w:themeColor="text1"/>
        </w:rPr>
        <w:t>Corporate Law in the ESG Era</w:t>
      </w:r>
      <w:r>
        <w:rPr>
          <w:rFonts w:ascii="Garamond" w:hAnsi="Garamond"/>
          <w:color w:val="000000" w:themeColor="text1"/>
        </w:rPr>
        <w:t xml:space="preserve"> </w:t>
      </w:r>
      <w:r w:rsidR="00610914">
        <w:rPr>
          <w:rFonts w:ascii="Garamond" w:hAnsi="Garamond"/>
          <w:b/>
          <w:bCs/>
          <w:color w:val="000000" w:themeColor="text1"/>
        </w:rPr>
        <w:t>(Seminar)</w:t>
      </w:r>
      <w:r w:rsidR="00610914">
        <w:rPr>
          <w:rFonts w:ascii="Garamond" w:hAnsi="Garamond"/>
          <w:color w:val="000000" w:themeColor="text1"/>
        </w:rPr>
        <w:t xml:space="preserve"> </w:t>
      </w:r>
      <w:r>
        <w:rPr>
          <w:rFonts w:ascii="Garamond" w:hAnsi="Garamond"/>
          <w:color w:val="000000" w:themeColor="text1"/>
        </w:rPr>
        <w:t>(LLM), University of Haifa</w:t>
      </w:r>
      <w:r>
        <w:rPr>
          <w:rFonts w:ascii="Garamond" w:hAnsi="Garamond"/>
          <w:color w:val="000000" w:themeColor="text1"/>
        </w:rPr>
        <w:tab/>
        <w:t>2023–2024</w:t>
      </w:r>
      <w:r>
        <w:rPr>
          <w:rFonts w:ascii="Garamond" w:hAnsi="Garamond"/>
          <w:color w:val="000000" w:themeColor="text1"/>
        </w:rPr>
        <w:tab/>
      </w:r>
    </w:p>
    <w:p w14:paraId="4EC21481" w14:textId="77777777" w:rsidR="006E0A43" w:rsidRDefault="006E0A43">
      <w:pPr>
        <w:pStyle w:val="Heading1"/>
        <w:rPr>
          <w:rFonts w:ascii="Garamond" w:hAnsi="Garamond"/>
          <w:color w:val="000000" w:themeColor="text1"/>
        </w:rPr>
      </w:pPr>
    </w:p>
    <w:p w14:paraId="08ED37DB" w14:textId="542FF475" w:rsidR="00445B3A" w:rsidRPr="00485ACE" w:rsidRDefault="00000000">
      <w:pPr>
        <w:pStyle w:val="Heading1"/>
        <w:rPr>
          <w:rFonts w:ascii="Garamond" w:hAnsi="Garamond"/>
          <w:color w:val="000000" w:themeColor="text1"/>
        </w:rPr>
      </w:pPr>
      <w:r>
        <w:rPr>
          <w:rFonts w:ascii="Garamond" w:hAnsi="Garamond"/>
          <w:color w:val="000000" w:themeColor="text1"/>
        </w:rPr>
        <w:lastRenderedPageBreak/>
        <w:t>SELECTED PRESENTATIONS</w:t>
      </w:r>
    </w:p>
    <w:p w14:paraId="0F849205" w14:textId="77777777" w:rsidR="00445B3A" w:rsidRPr="00485ACE" w:rsidRDefault="00000000">
      <w:pPr>
        <w:pStyle w:val="Heading2"/>
        <w:rPr>
          <w:rFonts w:ascii="Garamond" w:hAnsi="Garamond"/>
          <w:color w:val="000000" w:themeColor="text1"/>
        </w:rPr>
      </w:pPr>
      <w:r>
        <w:rPr>
          <w:rFonts w:ascii="Garamond" w:hAnsi="Garamond"/>
          <w:color w:val="000000" w:themeColor="text1"/>
        </w:rPr>
        <w:t>Invited Scholarly Lectures</w:t>
      </w:r>
    </w:p>
    <w:p w14:paraId="6BE28B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Comparative Corporate Governance, Harvard Law School</w:t>
      </w:r>
    </w:p>
    <w:p w14:paraId="32C0F48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Israel and the Regional Economy, Harvard Business School (invited plenary speaker)</w:t>
      </w:r>
    </w:p>
    <w:p w14:paraId="2F713D8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Venture Capital Seminar, Vanderbilt University</w:t>
      </w:r>
    </w:p>
    <w:p w14:paraId="26531C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Seminar for Judges of the Economic and District Courts, Tel Aviv University</w:t>
      </w:r>
    </w:p>
    <w:p w14:paraId="20A9CE1C"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2025  </w:t>
      </w:r>
      <w:r w:rsidRPr="000B4497">
        <w:rPr>
          <w:rFonts w:ascii="Garamond" w:hAnsi="Garamond"/>
          <w:color w:val="000000" w:themeColor="text1"/>
        </w:rPr>
        <w:t>I.B.I. Capital, Tel Aviv</w:t>
      </w:r>
    </w:p>
    <w:p w14:paraId="2D54C92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2023</w:t>
      </w:r>
      <w:r w:rsidRPr="000B4497">
        <w:rPr>
          <w:rFonts w:ascii="Garamond" w:hAnsi="Garamond"/>
          <w:color w:val="000000" w:themeColor="text1"/>
        </w:rPr>
        <w:t xml:space="preserve">  I.B.I. Capital &amp; Israeli Export Institute (invited panelist)</w:t>
      </w:r>
    </w:p>
    <w:p w14:paraId="28B509B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Israeli Export Institute</w:t>
      </w:r>
    </w:p>
    <w:p w14:paraId="4441E48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Naschitz Brandes Amir (invited panelist)</w:t>
      </w:r>
    </w:p>
    <w:p w14:paraId="2EE8FA5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2021</w:t>
      </w:r>
      <w:r w:rsidRPr="000B4497">
        <w:rPr>
          <w:rFonts w:ascii="Garamond" w:hAnsi="Garamond"/>
          <w:color w:val="000000" w:themeColor="text1"/>
        </w:rPr>
        <w:t xml:space="preserve">  I.B.I. Capital &amp; Israeli Export Institute (invited panelist)</w:t>
      </w:r>
    </w:p>
    <w:p w14:paraId="5D7EB849" w14:textId="77777777" w:rsidR="00445B3A" w:rsidRPr="00485ACE" w:rsidRDefault="00000000">
      <w:pPr>
        <w:pStyle w:val="Heading2"/>
        <w:rPr>
          <w:rFonts w:ascii="Garamond" w:hAnsi="Garamond"/>
          <w:color w:val="000000" w:themeColor="text1"/>
        </w:rPr>
      </w:pPr>
      <w:r>
        <w:rPr>
          <w:rFonts w:ascii="Garamond" w:hAnsi="Garamond"/>
          <w:color w:val="000000" w:themeColor="text1"/>
        </w:rPr>
        <w:t>Selected Conference Presentations</w:t>
      </w:r>
    </w:p>
    <w:p w14:paraId="6170BA42" w14:textId="6126B6C9"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03/2026  </w:t>
      </w:r>
      <w:r w:rsidRPr="00840F48">
        <w:rPr>
          <w:rFonts w:ascii="Garamond" w:hAnsi="Garamond"/>
          <w:color w:val="000000" w:themeColor="text1"/>
        </w:rPr>
        <w:t xml:space="preserve">6th LawFin Workshop on U.S. Venture Capital Contracting, Goethe University Frankfurt </w:t>
      </w:r>
    </w:p>
    <w:p w14:paraId="2756A0D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01/2026  </w:t>
      </w:r>
      <w:r>
        <w:rPr>
          <w:rFonts w:ascii="Garamond" w:hAnsi="Garamond"/>
          <w:color w:val="000000" w:themeColor="text1"/>
        </w:rPr>
        <w:t>Kelso Symposium, Rutgers Center for the Study of Employee Ownership, New Brunswick, NJ</w:t>
      </w:r>
    </w:p>
    <w:p w14:paraId="3CA66BD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10/2025  </w:t>
      </w:r>
      <w:r>
        <w:rPr>
          <w:rFonts w:ascii="Garamond" w:hAnsi="Garamond"/>
          <w:color w:val="000000" w:themeColor="text1"/>
        </w:rPr>
        <w:t>Israel and the Regional Economy, Harvard Business School, Cambridge, MA (invited plenary)</w:t>
      </w:r>
    </w:p>
    <w:p w14:paraId="5783E63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06/2025  </w:t>
      </w:r>
      <w:r>
        <w:rPr>
          <w:rFonts w:ascii="Garamond" w:hAnsi="Garamond"/>
          <w:color w:val="000000" w:themeColor="text1"/>
        </w:rPr>
        <w:t>Future of Equity Symposium, Palo Alto, CA</w:t>
      </w:r>
    </w:p>
    <w:p w14:paraId="7A24381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09/2024  </w:t>
      </w:r>
      <w:r>
        <w:rPr>
          <w:rFonts w:ascii="Garamond" w:hAnsi="Garamond"/>
          <w:color w:val="000000" w:themeColor="text1"/>
        </w:rPr>
        <w:t>Law and Entrepreneurship Association (LEA) Retreat, San Francisco, CA</w:t>
      </w:r>
    </w:p>
    <w:p w14:paraId="5A883E84" w14:textId="04DE8D9F"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08/2024  </w:t>
      </w:r>
      <w:r>
        <w:rPr>
          <w:rFonts w:ascii="Garamond" w:hAnsi="Garamond"/>
          <w:color w:val="000000" w:themeColor="text1"/>
        </w:rPr>
        <w:t xml:space="preserve">Second Annual Rutgers-Oxford (Kellogg) Employee Ownership Conference, Oxford, UK </w:t>
      </w:r>
    </w:p>
    <w:p w14:paraId="37D3335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03/2024  </w:t>
      </w:r>
      <w:r>
        <w:rPr>
          <w:rFonts w:ascii="Garamond" w:hAnsi="Garamond"/>
          <w:color w:val="000000" w:themeColor="text1"/>
        </w:rPr>
        <w:t>Tech, Innovation, Banking, and the Future of Venture Capital, University of Illinois</w:t>
      </w:r>
    </w:p>
    <w:p w14:paraId="3C65148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Symposium on the Research Handbook on PE/VC, Vanderbilt University (invited plenary)</w:t>
      </w:r>
    </w:p>
    <w:p w14:paraId="0CD05D6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LEA Retreat, Vanderbilt University</w:t>
      </w:r>
    </w:p>
    <w:p w14:paraId="309CD9C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06/2023  </w:t>
      </w:r>
      <w:r>
        <w:rPr>
          <w:rFonts w:ascii="Garamond" w:hAnsi="Garamond"/>
          <w:color w:val="000000" w:themeColor="text1"/>
        </w:rPr>
        <w:t>The Law and Finance of Private Equity &amp; Venture Capital (ECGI), University of Oxford</w:t>
      </w:r>
    </w:p>
    <w:p w14:paraId="41655742"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01/2023  </w:t>
      </w:r>
      <w:r w:rsidRPr="000B4497">
        <w:rPr>
          <w:rFonts w:ascii="Garamond" w:hAnsi="Garamond"/>
          <w:color w:val="000000" w:themeColor="text1"/>
        </w:rPr>
        <w:t>Kelso Symposium, Rutgers Center for the Study of Employee Ownership, New Brunswick, NJ</w:t>
      </w:r>
    </w:p>
    <w:p w14:paraId="0C5C07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06/2022  </w:t>
      </w:r>
      <w:r>
        <w:rPr>
          <w:rFonts w:ascii="Garamond" w:hAnsi="Garamond"/>
          <w:color w:val="000000" w:themeColor="text1"/>
        </w:rPr>
        <w:t>VC/PE Conference (ECGI), LawFin Center, Goethe University Frankfurt (invited plenary)</w:t>
      </w:r>
    </w:p>
    <w:p w14:paraId="67D1622E"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06/2022  </w:t>
      </w:r>
      <w:r w:rsidRPr="000B4497">
        <w:rPr>
          <w:rFonts w:ascii="Garamond" w:hAnsi="Garamond"/>
          <w:color w:val="000000" w:themeColor="text1"/>
        </w:rPr>
        <w:t>Beyster Symposium, Rutgers Center for the Study of Employee Ownership, San Diego, CA</w:t>
      </w:r>
    </w:p>
    <w:p w14:paraId="418F1F8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07/2022  </w:t>
      </w:r>
      <w:r>
        <w:rPr>
          <w:rFonts w:ascii="Garamond" w:hAnsi="Garamond"/>
          <w:color w:val="000000" w:themeColor="text1"/>
        </w:rPr>
        <w:t>Women in Law and Finance Workshop, Goethe University Frankfurt (invited plenary)</w:t>
      </w:r>
    </w:p>
    <w:p w14:paraId="2AB972D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10/2022  </w:t>
      </w:r>
      <w:r>
        <w:rPr>
          <w:rFonts w:ascii="Garamond" w:hAnsi="Garamond"/>
          <w:color w:val="000000" w:themeColor="text1"/>
        </w:rPr>
        <w:t>LEA Retreat, University of Pennsylvania</w:t>
      </w:r>
    </w:p>
    <w:p w14:paraId="27781C3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Pr>
          <w:rFonts w:ascii="Garamond" w:hAnsi="Garamond"/>
          <w:color w:val="000000" w:themeColor="text1"/>
        </w:rPr>
        <w:t>Conference on Empirical Legal Studies (CELS)</w:t>
      </w:r>
    </w:p>
    <w:p w14:paraId="45DF4FF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09/2020  </w:t>
      </w:r>
      <w:r>
        <w:rPr>
          <w:rFonts w:ascii="Garamond" w:hAnsi="Garamond"/>
          <w:color w:val="000000" w:themeColor="text1"/>
        </w:rPr>
        <w:t>Perspectives on Cutting-Edge Issues in VC &amp; PE, ABA Business Law Section (invited plenary)</w:t>
      </w:r>
    </w:p>
    <w:p w14:paraId="230B4C03" w14:textId="77777777" w:rsidR="00445B3A" w:rsidRPr="00485ACE" w:rsidRDefault="00000000">
      <w:pPr>
        <w:pStyle w:val="Heading2"/>
        <w:rPr>
          <w:rFonts w:ascii="Garamond" w:hAnsi="Garamond"/>
          <w:color w:val="000000" w:themeColor="text1"/>
        </w:rPr>
      </w:pPr>
      <w:r>
        <w:rPr>
          <w:rFonts w:ascii="Garamond" w:hAnsi="Garamond"/>
          <w:color w:val="000000" w:themeColor="text1"/>
        </w:rPr>
        <w:t>Selected Seminar &amp; Colloquium Talks</w:t>
      </w:r>
    </w:p>
    <w:p w14:paraId="036FD90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Law &amp; Economics Workshop, Tel Aviv University</w:t>
      </w:r>
    </w:p>
    <w:p w14:paraId="44EC74E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Radzyner Law School, Reichman University</w:t>
      </w:r>
    </w:p>
    <w:p w14:paraId="3E4E4D5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Adelson School of Entrepreneurship, Reichman University</w:t>
      </w:r>
    </w:p>
    <w:p w14:paraId="5CF9C0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Private Law Workshop, The Hebrew University of Jerusalem</w:t>
      </w:r>
    </w:p>
    <w:p w14:paraId="7460631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Law and Entrepreneurship Seminar, The Hebrew University of Jerusalem</w:t>
      </w:r>
    </w:p>
    <w:p w14:paraId="30C556F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Law, Economics, and Accounting Workshop, UC Berkeley Law School</w:t>
      </w:r>
    </w:p>
    <w:p w14:paraId="1DA55E9A"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High Tech Law Seminar, The Hebrew University of Jerusalem</w:t>
      </w:r>
    </w:p>
    <w:p w14:paraId="66B06B6E"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Entrepreneurial Unit Faculty Seminar, Harvard Business School</w:t>
      </w:r>
    </w:p>
    <w:p w14:paraId="19164A4F"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Advanced Issues in Corporate Governance Seminar, Reichman University</w:t>
      </w:r>
    </w:p>
    <w:p w14:paraId="072D6908"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2023</w:t>
      </w:r>
      <w:r w:rsidRPr="003D0CBE">
        <w:rPr>
          <w:rFonts w:ascii="Garamond" w:hAnsi="Garamond"/>
          <w:color w:val="000000" w:themeColor="text1"/>
        </w:rPr>
        <w:t xml:space="preserve">  Advanced Issues in Corporate Governance Seminar, Reichman University</w:t>
      </w:r>
    </w:p>
    <w:p w14:paraId="74231173"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Advanced Issues in Corporate Governance Seminar, Reichman University</w:t>
      </w:r>
    </w:p>
    <w:p w14:paraId="006155CD"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Law and Economics Seminar for MBAs, Reichman University</w:t>
      </w:r>
    </w:p>
    <w:p w14:paraId="3125580A"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2021</w:t>
      </w:r>
      <w:r w:rsidRPr="003D0CBE">
        <w:rPr>
          <w:rFonts w:ascii="Garamond" w:hAnsi="Garamond"/>
          <w:color w:val="000000" w:themeColor="text1"/>
        </w:rPr>
        <w:t xml:space="preserve">  Law and Economics Seminar for MBAs, Reichman University</w:t>
      </w:r>
    </w:p>
    <w:p w14:paraId="0142A62D" w14:textId="317AC08A" w:rsidR="003D0CBE" w:rsidRPr="003D0CBE" w:rsidRDefault="00000000" w:rsidP="008C78BB">
      <w:pPr>
        <w:spacing w:after="50"/>
        <w:rPr>
          <w:rFonts w:ascii="Garamond" w:hAnsi="Garamond"/>
          <w:color w:val="000000" w:themeColor="text1"/>
        </w:rPr>
      </w:pPr>
      <w:r w:rsidRPr="003D0CBE">
        <w:rPr>
          <w:rFonts w:ascii="Garamond" w:hAnsi="Garamond"/>
          <w:b/>
          <w:bCs/>
          <w:color w:val="000000" w:themeColor="text1"/>
        </w:rPr>
        <w:t>2025</w:t>
      </w:r>
      <w:r w:rsidRPr="003D0CBE">
        <w:rPr>
          <w:rFonts w:ascii="Garamond" w:hAnsi="Garamond"/>
          <w:color w:val="000000" w:themeColor="text1"/>
        </w:rPr>
        <w:t xml:space="preserve">  Advanced Issues in Corporate Governance Seminar, Reichman University</w:t>
      </w:r>
    </w:p>
    <w:p w14:paraId="487EAD4D" w14:textId="77777777" w:rsidR="006E0A43" w:rsidRDefault="006E0A43">
      <w:pPr>
        <w:pStyle w:val="Heading1"/>
        <w:rPr>
          <w:rFonts w:ascii="Garamond" w:hAnsi="Garamond"/>
          <w:color w:val="000000" w:themeColor="text1"/>
        </w:rPr>
      </w:pPr>
    </w:p>
    <w:p w14:paraId="6C2B07DE" w14:textId="06997734" w:rsidR="00445B3A" w:rsidRPr="00485ACE" w:rsidRDefault="00000000">
      <w:pPr>
        <w:pStyle w:val="Heading1"/>
        <w:rPr>
          <w:rFonts w:ascii="Garamond" w:hAnsi="Garamond"/>
          <w:color w:val="000000" w:themeColor="text1"/>
        </w:rPr>
      </w:pPr>
      <w:r>
        <w:rPr>
          <w:rFonts w:ascii="Garamond" w:hAnsi="Garamond"/>
          <w:color w:val="000000" w:themeColor="text1"/>
        </w:rPr>
        <w:lastRenderedPageBreak/>
        <w:t>SERVICE</w:t>
      </w:r>
    </w:p>
    <w:p w14:paraId="49D9CC41" w14:textId="77777777" w:rsidR="00445B3A" w:rsidRPr="00485ACE" w:rsidRDefault="00000000">
      <w:pPr>
        <w:pStyle w:val="Heading2"/>
        <w:rPr>
          <w:rFonts w:ascii="Garamond" w:hAnsi="Garamond"/>
          <w:color w:val="000000" w:themeColor="text1"/>
        </w:rPr>
      </w:pPr>
      <w:r>
        <w:rPr>
          <w:rFonts w:ascii="Garamond" w:hAnsi="Garamond"/>
          <w:color w:val="000000" w:themeColor="text1"/>
        </w:rPr>
        <w:t>University Service</w:t>
      </w:r>
    </w:p>
    <w:p w14:paraId="437DB62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Member, Law School Admissions Committee, University of Haifa</w:t>
      </w:r>
    </w:p>
    <w:p w14:paraId="48C1B6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Research Authority Council, University of Haifa</w:t>
      </w:r>
    </w:p>
    <w:p w14:paraId="4A75FB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2023–2024  </w:t>
      </w:r>
      <w:r>
        <w:rPr>
          <w:rFonts w:ascii="Garamond" w:hAnsi="Garamond"/>
          <w:color w:val="000000" w:themeColor="text1"/>
        </w:rPr>
        <w:t>Faculty Seminar Coordinator, University of Haifa School of Law</w:t>
      </w:r>
    </w:p>
    <w:p w14:paraId="2B2BA42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2021–2024  </w:t>
      </w:r>
      <w:r>
        <w:rPr>
          <w:rFonts w:ascii="Garamond" w:hAnsi="Garamond"/>
          <w:color w:val="000000" w:themeColor="text1"/>
        </w:rPr>
        <w:t>Member of the Research Authority Council, University of Haifa School of Law</w:t>
      </w:r>
    </w:p>
    <w:p w14:paraId="3AE1B07A" w14:textId="1405042A" w:rsidR="00A64C48" w:rsidRDefault="00000000" w:rsidP="004C3E53">
      <w:pPr>
        <w:spacing w:after="50"/>
        <w:rPr>
          <w:rFonts w:ascii="Garamond" w:hAnsi="Garamond"/>
          <w:color w:val="000000" w:themeColor="text1"/>
        </w:rPr>
      </w:pPr>
      <w:r>
        <w:rPr>
          <w:rFonts w:ascii="Garamond" w:hAnsi="Garamond"/>
          <w:b/>
          <w:bCs/>
          <w:color w:val="000000" w:themeColor="text1"/>
        </w:rPr>
        <w:t xml:space="preserve">2022–2024  </w:t>
      </w:r>
      <w:r>
        <w:rPr>
          <w:rFonts w:ascii="Garamond" w:hAnsi="Garamond"/>
          <w:color w:val="000000" w:themeColor="text1"/>
        </w:rPr>
        <w:t>Oversaw preparation of top candidates for Supreme Court and other competitive positions</w:t>
      </w:r>
    </w:p>
    <w:p w14:paraId="43BDB007" w14:textId="36501FD3" w:rsidR="00445B3A" w:rsidRPr="00485ACE" w:rsidRDefault="00000000">
      <w:pPr>
        <w:pStyle w:val="Heading2"/>
        <w:rPr>
          <w:rFonts w:ascii="Garamond" w:hAnsi="Garamond"/>
          <w:color w:val="000000" w:themeColor="text1"/>
        </w:rPr>
      </w:pPr>
      <w:r>
        <w:rPr>
          <w:rFonts w:ascii="Garamond" w:hAnsi="Garamond"/>
          <w:color w:val="000000" w:themeColor="text1"/>
        </w:rPr>
        <w:t>Professional Service</w:t>
      </w:r>
    </w:p>
    <w:p w14:paraId="09D503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Co-Chair, Employee Participation and Financial Ownership Award Committee, HR Division of the Academy of Management</w:t>
      </w:r>
    </w:p>
    <w:p w14:paraId="4BE6D119"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2025–present  </w:t>
      </w:r>
      <w:r>
        <w:rPr>
          <w:rFonts w:ascii="Garamond" w:hAnsi="Garamond"/>
          <w:color w:val="000000" w:themeColor="text1"/>
        </w:rPr>
        <w:t>Fellow, Institute for the Study of Employee Ownership and Profit Sharing, Rutgers University</w:t>
      </w:r>
    </w:p>
    <w:p w14:paraId="70F0956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2023–present  </w:t>
      </w:r>
      <w:r>
        <w:rPr>
          <w:rFonts w:ascii="Garamond" w:hAnsi="Garamond"/>
          <w:color w:val="000000" w:themeColor="text1"/>
        </w:rPr>
        <w:t>Member, Steering Committee, Israeli Law and Economics Association (ILEA)</w:t>
      </w:r>
    </w:p>
    <w:p w14:paraId="58A185A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2021–present  </w:t>
      </w:r>
      <w:r>
        <w:rPr>
          <w:rFonts w:ascii="Garamond" w:hAnsi="Garamond"/>
          <w:color w:val="000000" w:themeColor="text1"/>
        </w:rPr>
        <w:t>Co-Founder and Co-Chair, “Chaverot” — Israeli Women in Business Law Forum</w:t>
      </w:r>
    </w:p>
    <w:p w14:paraId="47908E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Law and Finance (ILF), Goethe University Frankfurt</w:t>
      </w:r>
    </w:p>
    <w:p w14:paraId="0FBBF30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the Study of Employee Ownership and Profit Sharing, Rutgers University</w:t>
      </w:r>
    </w:p>
    <w:p w14:paraId="386827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Member, Global Equity Organization (GEO), Silicon Valley and Middle East branches</w:t>
      </w:r>
    </w:p>
    <w:p w14:paraId="6BA767E8" w14:textId="7F3C1574" w:rsidR="00791E87" w:rsidRDefault="00000000" w:rsidP="00A64C48">
      <w:pPr>
        <w:spacing w:after="50"/>
        <w:rPr>
          <w:rFonts w:ascii="Garamond" w:hAnsi="Garamond"/>
          <w:color w:val="000000" w:themeColor="text1"/>
        </w:rPr>
      </w:pPr>
      <w:r>
        <w:rPr>
          <w:rFonts w:ascii="Garamond" w:hAnsi="Garamond"/>
          <w:b/>
          <w:bCs/>
          <w:color w:val="000000" w:themeColor="text1"/>
        </w:rPr>
        <w:t xml:space="preserve">2015–2020  </w:t>
      </w:r>
      <w:r w:rsidRPr="003D0CBE">
        <w:rPr>
          <w:rFonts w:ascii="Garamond" w:hAnsi="Garamond"/>
          <w:color w:val="000000" w:themeColor="text1"/>
        </w:rPr>
        <w:t>Student Advisory Board Member, Arthur and Toni Rembe Rock Center for Corporate Governance, Stanford University</w:t>
      </w:r>
    </w:p>
    <w:p w14:paraId="378CAE27" w14:textId="77777777" w:rsidR="00445B3A" w:rsidRPr="00485ACE" w:rsidRDefault="00000000">
      <w:pPr>
        <w:pStyle w:val="Heading2"/>
        <w:rPr>
          <w:rFonts w:ascii="Garamond" w:hAnsi="Garamond"/>
          <w:color w:val="000000" w:themeColor="text1"/>
        </w:rPr>
      </w:pPr>
      <w:r>
        <w:rPr>
          <w:rFonts w:ascii="Garamond" w:hAnsi="Garamond"/>
          <w:color w:val="000000" w:themeColor="text1"/>
        </w:rPr>
        <w:t>Conference Organization (Selected)</w:t>
      </w:r>
    </w:p>
    <w:p w14:paraId="2B01DC3F"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12/2025  </w:t>
      </w:r>
      <w:r>
        <w:rPr>
          <w:rFonts w:ascii="Garamond" w:hAnsi="Garamond"/>
          <w:color w:val="000000" w:themeColor="text1"/>
        </w:rPr>
        <w:t>ILEA Annual Conference 2025, Bar Ilan (Organizing Committee, Panel Chair)</w:t>
      </w:r>
    </w:p>
    <w:p w14:paraId="337912B7" w14:textId="77777777" w:rsidR="00445B3A" w:rsidRPr="008C78BB" w:rsidRDefault="00000000">
      <w:pPr>
        <w:spacing w:after="50"/>
        <w:rPr>
          <w:rFonts w:ascii="Garamond" w:hAnsi="Garamond"/>
          <w:color w:val="000000" w:themeColor="text1"/>
        </w:rPr>
      </w:pPr>
      <w:r>
        <w:rPr>
          <w:rFonts w:ascii="Garamond" w:hAnsi="Garamond"/>
          <w:b/>
          <w:bCs/>
          <w:color w:val="000000" w:themeColor="text1"/>
        </w:rPr>
        <w:t xml:space="preserve">12/2025  </w:t>
      </w:r>
      <w:r w:rsidRPr="008C78BB">
        <w:rPr>
          <w:rFonts w:ascii="Garamond" w:hAnsi="Garamond"/>
          <w:color w:val="000000" w:themeColor="text1"/>
        </w:rPr>
        <w:t>Financial Regulation in the Digital Age, University of Haifa (Panel Chair)</w:t>
      </w:r>
    </w:p>
    <w:p w14:paraId="016B1AB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12/2024  </w:t>
      </w:r>
      <w:r>
        <w:rPr>
          <w:rFonts w:ascii="Garamond" w:hAnsi="Garamond"/>
          <w:color w:val="000000" w:themeColor="text1"/>
        </w:rPr>
        <w:t>Between Market and Ideology: The Past and Future of Intellectual Property, Haifa (Organizer)</w:t>
      </w:r>
    </w:p>
    <w:p w14:paraId="04EC3F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07/2024  </w:t>
      </w:r>
      <w:r>
        <w:rPr>
          <w:rFonts w:ascii="Garamond" w:hAnsi="Garamond"/>
          <w:color w:val="000000" w:themeColor="text1"/>
        </w:rPr>
        <w:t>Law and Policy for NFTs, University of Haifa (Organizing Committee)</w:t>
      </w:r>
    </w:p>
    <w:p w14:paraId="765123C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ILEA Annual Conference, The Hebrew University (Organizer, Steering Committee)</w:t>
      </w:r>
    </w:p>
    <w:p w14:paraId="21D77C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Chaverot Forum 2024, Reichman University (Co-Organizer)</w:t>
      </w:r>
    </w:p>
    <w:p w14:paraId="62DF6AB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05/2024  </w:t>
      </w:r>
      <w:r>
        <w:rPr>
          <w:rFonts w:ascii="Garamond" w:hAnsi="Garamond"/>
          <w:color w:val="000000" w:themeColor="text1"/>
        </w:rPr>
        <w:t>Investing for All: The Past and Future of Investment Crowdfunding, University of Haifa (Organizer)</w:t>
      </w:r>
    </w:p>
    <w:p w14:paraId="7E1209B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05/2023  </w:t>
      </w:r>
      <w:r w:rsidRPr="00EA144D">
        <w:rPr>
          <w:rFonts w:ascii="Garamond" w:hAnsi="Garamond"/>
          <w:color w:val="000000" w:themeColor="text1"/>
        </w:rPr>
        <w:t>Financial Regulation in the Digital Age, University of Haifa (Panel Chair)</w:t>
      </w:r>
    </w:p>
    <w:p w14:paraId="300E665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The Crypto Crisis (Organizer, Panel Chair)</w:t>
      </w:r>
    </w:p>
    <w:p w14:paraId="150B87BA" w14:textId="77777777" w:rsidR="00445B3A" w:rsidRPr="00EA144D" w:rsidRDefault="00000000">
      <w:pPr>
        <w:spacing w:after="50"/>
        <w:rPr>
          <w:rFonts w:ascii="Garamond" w:hAnsi="Garamond"/>
          <w:color w:val="000000" w:themeColor="text1"/>
        </w:rPr>
      </w:pPr>
      <w:r>
        <w:rPr>
          <w:rFonts w:ascii="Garamond" w:hAnsi="Garamond"/>
          <w:b/>
          <w:bCs/>
          <w:color w:val="000000" w:themeColor="text1"/>
        </w:rPr>
        <w:t xml:space="preserve">01/2023  </w:t>
      </w:r>
      <w:r w:rsidRPr="00EA144D">
        <w:rPr>
          <w:rFonts w:ascii="Garamond" w:hAnsi="Garamond"/>
          <w:color w:val="000000" w:themeColor="text1"/>
        </w:rPr>
        <w:t>Chaverot Forum 2023, College of Management (Organizing Committee)</w:t>
      </w:r>
    </w:p>
    <w:p w14:paraId="7662A0B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sidRPr="00EA144D">
        <w:rPr>
          <w:rFonts w:ascii="Garamond" w:hAnsi="Garamond"/>
          <w:color w:val="000000" w:themeColor="text1"/>
        </w:rPr>
        <w:t>Chaverot Forum 2022, Herzliya (Organized a session)</w:t>
      </w:r>
    </w:p>
    <w:p w14:paraId="40BD7F6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07/2021  </w:t>
      </w:r>
      <w:r w:rsidRPr="00EA144D">
        <w:rPr>
          <w:rFonts w:ascii="Garamond" w:hAnsi="Garamond"/>
          <w:color w:val="000000" w:themeColor="text1"/>
        </w:rPr>
        <w:t>Chaverot Workshop 2021, Herzliya (Organizing Committee)</w:t>
      </w:r>
    </w:p>
    <w:p w14:paraId="40CC645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06/2021  </w:t>
      </w:r>
      <w:r w:rsidRPr="00EA144D">
        <w:rPr>
          <w:rFonts w:ascii="Garamond" w:hAnsi="Garamond"/>
          <w:color w:val="000000" w:themeColor="text1"/>
        </w:rPr>
        <w:t>Chaverot Forum 2021 Launch Event, Herzliya (Organizer, Steering Committee)</w:t>
      </w:r>
    </w:p>
    <w:p w14:paraId="7C32F92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02/2021  </w:t>
      </w:r>
      <w:r>
        <w:rPr>
          <w:rFonts w:ascii="Garamond" w:hAnsi="Garamond"/>
          <w:color w:val="000000" w:themeColor="text1"/>
        </w:rPr>
        <w:t>GameStop and its Consequences (Organizer, Panelist)</w:t>
      </w:r>
    </w:p>
    <w:p w14:paraId="1B2A3906" w14:textId="77777777" w:rsidR="00445B3A" w:rsidRPr="00485ACE" w:rsidRDefault="00000000">
      <w:pPr>
        <w:pStyle w:val="Heading1"/>
        <w:rPr>
          <w:rFonts w:ascii="Garamond" w:hAnsi="Garamond"/>
          <w:color w:val="000000" w:themeColor="text1"/>
        </w:rPr>
      </w:pPr>
      <w:r>
        <w:rPr>
          <w:rFonts w:ascii="Garamond" w:hAnsi="Garamond"/>
          <w:color w:val="000000" w:themeColor="text1"/>
        </w:rPr>
        <w:t>GRADUATE SUPERVISION</w:t>
      </w:r>
    </w:p>
    <w:p w14:paraId="3DDA48F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Yasmin Yakove, LLM thesis: Startup Insolvency (2026, in progress)</w:t>
      </w:r>
    </w:p>
    <w:p w14:paraId="7A2DDE8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Matthew Edward Chippin, Post-Doctoral Fellow (co-supervised with Omer Kimchi): Comparative Distressed Financing Law</w:t>
      </w:r>
    </w:p>
    <w:p w14:paraId="52B4358C" w14:textId="081B689D" w:rsidR="00445B3A" w:rsidRPr="00485ACE" w:rsidRDefault="00445B3A">
      <w:pPr>
        <w:spacing w:after="20"/>
        <w:jc w:val="center"/>
        <w:rPr>
          <w:rFonts w:ascii="Garamond" w:hAnsi="Garamond"/>
          <w:color w:val="000000" w:themeColor="text1"/>
        </w:rPr>
      </w:pPr>
    </w:p>
    <w:sectPr w:rsidR="00445B3A" w:rsidRPr="00485ACE">
      <w:headerReference w:type="default" r:id="rId9"/>
      <w:footerReference w:type="default" r:id="rId10"/>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E714" w14:textId="77777777" w:rsidR="006C75CD" w:rsidRDefault="006C75CD">
      <w:r>
        <w:separator/>
      </w:r>
    </w:p>
  </w:endnote>
  <w:endnote w:type="continuationSeparator" w:id="0">
    <w:p w14:paraId="505F2209" w14:textId="77777777" w:rsidR="006C75CD" w:rsidRDefault="006C7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1B6C" w14:textId="77777777" w:rsidR="00445B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85AC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5AC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BA1B" w14:textId="77777777" w:rsidR="006C75CD" w:rsidRDefault="006C75CD">
      <w:r>
        <w:separator/>
      </w:r>
    </w:p>
  </w:footnote>
  <w:footnote w:type="continuationSeparator" w:id="0">
    <w:p w14:paraId="0C8C7E0D" w14:textId="77777777" w:rsidR="006C75CD" w:rsidRDefault="006C7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787" w14:textId="77777777" w:rsidR="00445B3A" w:rsidRDefault="00000000">
    <w:pPr>
      <w:jc w:val="right"/>
    </w:pPr>
    <w:r>
      <w:rPr>
        <w:i/>
        <w:iCs/>
        <w:color w:val="888888"/>
        <w:sz w:val="18"/>
        <w:szCs w:val="18"/>
      </w:rPr>
      <w:t>Yifat Aran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70F"/>
    <w:multiLevelType w:val="hybridMultilevel"/>
    <w:tmpl w:val="89ECA2DE"/>
    <w:lvl w:ilvl="0" w:tplc="2000000F">
      <w:start w:val="1"/>
      <w:numFmt w:val="decimal"/>
      <w:lvlText w:val="%1."/>
      <w:lvlJc w:val="left"/>
      <w:pPr>
        <w:ind w:left="360" w:hanging="360"/>
      </w:pPr>
      <w:rPr>
        <w:rFonts w:hint="default"/>
        <w:sz w:val="20"/>
        <w:szCs w:val="2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E97E69"/>
    <w:multiLevelType w:val="hybridMultilevel"/>
    <w:tmpl w:val="B394D982"/>
    <w:lvl w:ilvl="0" w:tplc="C84461F4">
      <w:start w:val="1"/>
      <w:numFmt w:val="bullet"/>
      <w:lvlText w:val="•"/>
      <w:lvlJc w:val="left"/>
      <w:pPr>
        <w:ind w:left="720" w:hanging="360"/>
      </w:pPr>
    </w:lvl>
    <w:lvl w:ilvl="1" w:tplc="27900B94">
      <w:numFmt w:val="decimal"/>
      <w:lvlText w:val=""/>
      <w:lvlJc w:val="left"/>
    </w:lvl>
    <w:lvl w:ilvl="2" w:tplc="79EE4470">
      <w:numFmt w:val="decimal"/>
      <w:lvlText w:val=""/>
      <w:lvlJc w:val="left"/>
    </w:lvl>
    <w:lvl w:ilvl="3" w:tplc="E13C3D08">
      <w:numFmt w:val="decimal"/>
      <w:lvlText w:val=""/>
      <w:lvlJc w:val="left"/>
    </w:lvl>
    <w:lvl w:ilvl="4" w:tplc="F0988662">
      <w:numFmt w:val="decimal"/>
      <w:lvlText w:val=""/>
      <w:lvlJc w:val="left"/>
    </w:lvl>
    <w:lvl w:ilvl="5" w:tplc="DF30C610">
      <w:numFmt w:val="decimal"/>
      <w:lvlText w:val=""/>
      <w:lvlJc w:val="left"/>
    </w:lvl>
    <w:lvl w:ilvl="6" w:tplc="0F2ED70E">
      <w:numFmt w:val="decimal"/>
      <w:lvlText w:val=""/>
      <w:lvlJc w:val="left"/>
    </w:lvl>
    <w:lvl w:ilvl="7" w:tplc="D86E7AC0">
      <w:numFmt w:val="decimal"/>
      <w:lvlText w:val=""/>
      <w:lvlJc w:val="left"/>
    </w:lvl>
    <w:lvl w:ilvl="8" w:tplc="765C46CA">
      <w:numFmt w:val="decimal"/>
      <w:lvlText w:val=""/>
      <w:lvlJc w:val="left"/>
    </w:lvl>
  </w:abstractNum>
  <w:abstractNum w:abstractNumId="2" w15:restartNumberingAfterBreak="0">
    <w:nsid w:val="200464C9"/>
    <w:multiLevelType w:val="hybridMultilevel"/>
    <w:tmpl w:val="944A4792"/>
    <w:lvl w:ilvl="0" w:tplc="162605A4">
      <w:start w:val="1"/>
      <w:numFmt w:val="decimal"/>
      <w:lvlText w:val="%1."/>
      <w:lvlJc w:val="left"/>
      <w:pPr>
        <w:ind w:left="360" w:hanging="360"/>
      </w:pPr>
    </w:lvl>
    <w:lvl w:ilvl="1" w:tplc="A04AA608">
      <w:numFmt w:val="decimal"/>
      <w:lvlText w:val=""/>
      <w:lvlJc w:val="left"/>
    </w:lvl>
    <w:lvl w:ilvl="2" w:tplc="FF1A4D78">
      <w:numFmt w:val="decimal"/>
      <w:lvlText w:val=""/>
      <w:lvlJc w:val="left"/>
    </w:lvl>
    <w:lvl w:ilvl="3" w:tplc="83E8E780">
      <w:numFmt w:val="decimal"/>
      <w:lvlText w:val=""/>
      <w:lvlJc w:val="left"/>
    </w:lvl>
    <w:lvl w:ilvl="4" w:tplc="C55CD8D0">
      <w:numFmt w:val="decimal"/>
      <w:lvlText w:val=""/>
      <w:lvlJc w:val="left"/>
    </w:lvl>
    <w:lvl w:ilvl="5" w:tplc="647A273A">
      <w:numFmt w:val="decimal"/>
      <w:lvlText w:val=""/>
      <w:lvlJc w:val="left"/>
    </w:lvl>
    <w:lvl w:ilvl="6" w:tplc="66321252">
      <w:numFmt w:val="decimal"/>
      <w:lvlText w:val=""/>
      <w:lvlJc w:val="left"/>
    </w:lvl>
    <w:lvl w:ilvl="7" w:tplc="254E7BA8">
      <w:numFmt w:val="decimal"/>
      <w:lvlText w:val=""/>
      <w:lvlJc w:val="left"/>
    </w:lvl>
    <w:lvl w:ilvl="8" w:tplc="446C2DD6">
      <w:numFmt w:val="decimal"/>
      <w:lvlText w:val=""/>
      <w:lvlJc w:val="left"/>
    </w:lvl>
  </w:abstractNum>
  <w:abstractNum w:abstractNumId="3" w15:restartNumberingAfterBreak="0">
    <w:nsid w:val="28F738EE"/>
    <w:multiLevelType w:val="hybridMultilevel"/>
    <w:tmpl w:val="94F276D6"/>
    <w:lvl w:ilvl="0" w:tplc="8F9838D0">
      <w:start w:val="1"/>
      <w:numFmt w:val="decimal"/>
      <w:lvlText w:val="%1."/>
      <w:lvlJc w:val="left"/>
      <w:pPr>
        <w:ind w:left="360" w:hanging="360"/>
      </w:pPr>
    </w:lvl>
    <w:lvl w:ilvl="1" w:tplc="FF6EADE2">
      <w:numFmt w:val="decimal"/>
      <w:lvlText w:val=""/>
      <w:lvlJc w:val="left"/>
    </w:lvl>
    <w:lvl w:ilvl="2" w:tplc="4B4C27C2">
      <w:numFmt w:val="decimal"/>
      <w:lvlText w:val=""/>
      <w:lvlJc w:val="left"/>
    </w:lvl>
    <w:lvl w:ilvl="3" w:tplc="95DE0300">
      <w:numFmt w:val="decimal"/>
      <w:lvlText w:val=""/>
      <w:lvlJc w:val="left"/>
    </w:lvl>
    <w:lvl w:ilvl="4" w:tplc="585C1C62">
      <w:numFmt w:val="decimal"/>
      <w:lvlText w:val=""/>
      <w:lvlJc w:val="left"/>
    </w:lvl>
    <w:lvl w:ilvl="5" w:tplc="419A30A4">
      <w:numFmt w:val="decimal"/>
      <w:lvlText w:val=""/>
      <w:lvlJc w:val="left"/>
    </w:lvl>
    <w:lvl w:ilvl="6" w:tplc="81FC00AE">
      <w:numFmt w:val="decimal"/>
      <w:lvlText w:val=""/>
      <w:lvlJc w:val="left"/>
    </w:lvl>
    <w:lvl w:ilvl="7" w:tplc="8DD4797E">
      <w:numFmt w:val="decimal"/>
      <w:lvlText w:val=""/>
      <w:lvlJc w:val="left"/>
    </w:lvl>
    <w:lvl w:ilvl="8" w:tplc="5F36FF02">
      <w:numFmt w:val="decimal"/>
      <w:lvlText w:val=""/>
      <w:lvlJc w:val="left"/>
    </w:lvl>
  </w:abstractNum>
  <w:abstractNum w:abstractNumId="4" w15:restartNumberingAfterBreak="0">
    <w:nsid w:val="415F14A5"/>
    <w:multiLevelType w:val="hybridMultilevel"/>
    <w:tmpl w:val="89ECA2DE"/>
    <w:lvl w:ilvl="0" w:tplc="FFFFFFFF">
      <w:start w:val="1"/>
      <w:numFmt w:val="decimal"/>
      <w:lvlText w:val="%1."/>
      <w:lvlJc w:val="left"/>
      <w:pPr>
        <w:ind w:left="360" w:hanging="360"/>
      </w:pPr>
      <w:rPr>
        <w:rFonts w:hint="default"/>
        <w:sz w:val="20"/>
        <w:szCs w:val="20"/>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A9207BD"/>
    <w:multiLevelType w:val="hybridMultilevel"/>
    <w:tmpl w:val="5C84CCB2"/>
    <w:lvl w:ilvl="0" w:tplc="86D28D20">
      <w:start w:val="1"/>
      <w:numFmt w:val="decimal"/>
      <w:lvlText w:val="%1."/>
      <w:lvlJc w:val="left"/>
      <w:pPr>
        <w:ind w:left="360" w:hanging="360"/>
      </w:pPr>
      <w:rPr>
        <w:rFonts w:ascii="Garamond" w:hAnsi="Garamond" w:hint="default"/>
        <w:sz w:val="22"/>
        <w:szCs w:val="22"/>
      </w:rPr>
    </w:lvl>
    <w:lvl w:ilvl="1" w:tplc="EEE2F19A">
      <w:numFmt w:val="decimal"/>
      <w:lvlText w:val=""/>
      <w:lvlJc w:val="left"/>
    </w:lvl>
    <w:lvl w:ilvl="2" w:tplc="53CAEFE2">
      <w:numFmt w:val="decimal"/>
      <w:lvlText w:val=""/>
      <w:lvlJc w:val="left"/>
    </w:lvl>
    <w:lvl w:ilvl="3" w:tplc="3FCAA62A">
      <w:numFmt w:val="decimal"/>
      <w:lvlText w:val=""/>
      <w:lvlJc w:val="left"/>
    </w:lvl>
    <w:lvl w:ilvl="4" w:tplc="3432D882">
      <w:numFmt w:val="decimal"/>
      <w:lvlText w:val=""/>
      <w:lvlJc w:val="left"/>
    </w:lvl>
    <w:lvl w:ilvl="5" w:tplc="6C2896FC">
      <w:numFmt w:val="decimal"/>
      <w:lvlText w:val=""/>
      <w:lvlJc w:val="left"/>
    </w:lvl>
    <w:lvl w:ilvl="6" w:tplc="E7BCA7F2">
      <w:numFmt w:val="decimal"/>
      <w:lvlText w:val=""/>
      <w:lvlJc w:val="left"/>
    </w:lvl>
    <w:lvl w:ilvl="7" w:tplc="8C481622">
      <w:numFmt w:val="decimal"/>
      <w:lvlText w:val=""/>
      <w:lvlJc w:val="left"/>
    </w:lvl>
    <w:lvl w:ilvl="8" w:tplc="67AC9D74">
      <w:numFmt w:val="decimal"/>
      <w:lvlText w:val=""/>
      <w:lvlJc w:val="left"/>
    </w:lvl>
  </w:abstractNum>
  <w:abstractNum w:abstractNumId="6" w15:restartNumberingAfterBreak="0">
    <w:nsid w:val="4CA52B1A"/>
    <w:multiLevelType w:val="hybridMultilevel"/>
    <w:tmpl w:val="8FC29C96"/>
    <w:lvl w:ilvl="0" w:tplc="D6A4EC0E">
      <w:start w:val="1"/>
      <w:numFmt w:val="bullet"/>
      <w:lvlText w:val="●"/>
      <w:lvlJc w:val="left"/>
      <w:pPr>
        <w:ind w:left="720" w:hanging="360"/>
      </w:pPr>
    </w:lvl>
    <w:lvl w:ilvl="1" w:tplc="60089510">
      <w:start w:val="1"/>
      <w:numFmt w:val="bullet"/>
      <w:lvlText w:val="○"/>
      <w:lvlJc w:val="left"/>
      <w:pPr>
        <w:ind w:left="1440" w:hanging="360"/>
      </w:pPr>
    </w:lvl>
    <w:lvl w:ilvl="2" w:tplc="EA6842E0">
      <w:start w:val="1"/>
      <w:numFmt w:val="bullet"/>
      <w:lvlText w:val="■"/>
      <w:lvlJc w:val="left"/>
      <w:pPr>
        <w:ind w:left="2160" w:hanging="360"/>
      </w:pPr>
    </w:lvl>
    <w:lvl w:ilvl="3" w:tplc="F236836E">
      <w:start w:val="1"/>
      <w:numFmt w:val="bullet"/>
      <w:lvlText w:val="●"/>
      <w:lvlJc w:val="left"/>
      <w:pPr>
        <w:ind w:left="2880" w:hanging="360"/>
      </w:pPr>
    </w:lvl>
    <w:lvl w:ilvl="4" w:tplc="8E2CA26A">
      <w:start w:val="1"/>
      <w:numFmt w:val="bullet"/>
      <w:lvlText w:val="○"/>
      <w:lvlJc w:val="left"/>
      <w:pPr>
        <w:ind w:left="3600" w:hanging="360"/>
      </w:pPr>
    </w:lvl>
    <w:lvl w:ilvl="5" w:tplc="69FC701A">
      <w:start w:val="1"/>
      <w:numFmt w:val="bullet"/>
      <w:lvlText w:val="■"/>
      <w:lvlJc w:val="left"/>
      <w:pPr>
        <w:ind w:left="4320" w:hanging="360"/>
      </w:pPr>
    </w:lvl>
    <w:lvl w:ilvl="6" w:tplc="0A9C795E">
      <w:start w:val="1"/>
      <w:numFmt w:val="bullet"/>
      <w:lvlText w:val="●"/>
      <w:lvlJc w:val="left"/>
      <w:pPr>
        <w:ind w:left="5040" w:hanging="360"/>
      </w:pPr>
    </w:lvl>
    <w:lvl w:ilvl="7" w:tplc="88408A9C">
      <w:start w:val="1"/>
      <w:numFmt w:val="bullet"/>
      <w:lvlText w:val="●"/>
      <w:lvlJc w:val="left"/>
      <w:pPr>
        <w:ind w:left="5760" w:hanging="360"/>
      </w:pPr>
    </w:lvl>
    <w:lvl w:ilvl="8" w:tplc="E6C23010">
      <w:start w:val="1"/>
      <w:numFmt w:val="bullet"/>
      <w:lvlText w:val="●"/>
      <w:lvlJc w:val="left"/>
      <w:pPr>
        <w:ind w:left="6480" w:hanging="360"/>
      </w:pPr>
    </w:lvl>
  </w:abstractNum>
  <w:abstractNum w:abstractNumId="7" w15:restartNumberingAfterBreak="0">
    <w:nsid w:val="6B0A1D48"/>
    <w:multiLevelType w:val="hybridMultilevel"/>
    <w:tmpl w:val="0C708D96"/>
    <w:lvl w:ilvl="0" w:tplc="3860078A">
      <w:start w:val="1"/>
      <w:numFmt w:val="decimal"/>
      <w:lvlText w:val="%1."/>
      <w:lvlJc w:val="left"/>
      <w:pPr>
        <w:ind w:left="360" w:hanging="360"/>
      </w:pPr>
    </w:lvl>
    <w:lvl w:ilvl="1" w:tplc="7C28A242">
      <w:numFmt w:val="decimal"/>
      <w:lvlText w:val=""/>
      <w:lvlJc w:val="left"/>
    </w:lvl>
    <w:lvl w:ilvl="2" w:tplc="5D3643A0">
      <w:numFmt w:val="decimal"/>
      <w:lvlText w:val=""/>
      <w:lvlJc w:val="left"/>
    </w:lvl>
    <w:lvl w:ilvl="3" w:tplc="A4A8480A">
      <w:numFmt w:val="decimal"/>
      <w:lvlText w:val=""/>
      <w:lvlJc w:val="left"/>
    </w:lvl>
    <w:lvl w:ilvl="4" w:tplc="3B34BAFE">
      <w:numFmt w:val="decimal"/>
      <w:lvlText w:val=""/>
      <w:lvlJc w:val="left"/>
    </w:lvl>
    <w:lvl w:ilvl="5" w:tplc="2E1EA4D6">
      <w:numFmt w:val="decimal"/>
      <w:lvlText w:val=""/>
      <w:lvlJc w:val="left"/>
    </w:lvl>
    <w:lvl w:ilvl="6" w:tplc="3CC0DC24">
      <w:numFmt w:val="decimal"/>
      <w:lvlText w:val=""/>
      <w:lvlJc w:val="left"/>
    </w:lvl>
    <w:lvl w:ilvl="7" w:tplc="F3607146">
      <w:numFmt w:val="decimal"/>
      <w:lvlText w:val=""/>
      <w:lvlJc w:val="left"/>
    </w:lvl>
    <w:lvl w:ilvl="8" w:tplc="2324A554">
      <w:numFmt w:val="decimal"/>
      <w:lvlText w:val=""/>
      <w:lvlJc w:val="left"/>
    </w:lvl>
  </w:abstractNum>
  <w:abstractNum w:abstractNumId="8" w15:restartNumberingAfterBreak="0">
    <w:nsid w:val="75870226"/>
    <w:multiLevelType w:val="hybridMultilevel"/>
    <w:tmpl w:val="3C90E428"/>
    <w:lvl w:ilvl="0" w:tplc="81144B0C">
      <w:start w:val="1"/>
      <w:numFmt w:val="decimal"/>
      <w:lvlText w:val="%1."/>
      <w:lvlJc w:val="left"/>
      <w:pPr>
        <w:ind w:left="360" w:hanging="360"/>
      </w:pPr>
    </w:lvl>
    <w:lvl w:ilvl="1" w:tplc="6B1EC078">
      <w:numFmt w:val="decimal"/>
      <w:lvlText w:val=""/>
      <w:lvlJc w:val="left"/>
    </w:lvl>
    <w:lvl w:ilvl="2" w:tplc="5016D526">
      <w:numFmt w:val="decimal"/>
      <w:lvlText w:val=""/>
      <w:lvlJc w:val="left"/>
    </w:lvl>
    <w:lvl w:ilvl="3" w:tplc="95EC0E04">
      <w:numFmt w:val="decimal"/>
      <w:lvlText w:val=""/>
      <w:lvlJc w:val="left"/>
    </w:lvl>
    <w:lvl w:ilvl="4" w:tplc="2848DE92">
      <w:numFmt w:val="decimal"/>
      <w:lvlText w:val=""/>
      <w:lvlJc w:val="left"/>
    </w:lvl>
    <w:lvl w:ilvl="5" w:tplc="48C63DDA">
      <w:numFmt w:val="decimal"/>
      <w:lvlText w:val=""/>
      <w:lvlJc w:val="left"/>
    </w:lvl>
    <w:lvl w:ilvl="6" w:tplc="25C07D98">
      <w:numFmt w:val="decimal"/>
      <w:lvlText w:val=""/>
      <w:lvlJc w:val="left"/>
    </w:lvl>
    <w:lvl w:ilvl="7" w:tplc="D69843D0">
      <w:numFmt w:val="decimal"/>
      <w:lvlText w:val=""/>
      <w:lvlJc w:val="left"/>
    </w:lvl>
    <w:lvl w:ilvl="8" w:tplc="D67AA252">
      <w:numFmt w:val="decimal"/>
      <w:lvlText w:val=""/>
      <w:lvlJc w:val="left"/>
    </w:lvl>
  </w:abstractNum>
  <w:num w:numId="1" w16cid:durableId="806313123">
    <w:abstractNumId w:val="6"/>
    <w:lvlOverride w:ilvl="0">
      <w:startOverride w:val="1"/>
    </w:lvlOverride>
  </w:num>
  <w:num w:numId="2" w16cid:durableId="1788113126">
    <w:abstractNumId w:val="5"/>
    <w:lvlOverride w:ilvl="0">
      <w:startOverride w:val="1"/>
    </w:lvlOverride>
  </w:num>
  <w:num w:numId="3" w16cid:durableId="1621640931">
    <w:abstractNumId w:val="7"/>
    <w:lvlOverride w:ilvl="0">
      <w:startOverride w:val="1"/>
    </w:lvlOverride>
  </w:num>
  <w:num w:numId="4" w16cid:durableId="200434217">
    <w:abstractNumId w:val="8"/>
    <w:lvlOverride w:ilvl="0">
      <w:startOverride w:val="1"/>
    </w:lvlOverride>
  </w:num>
  <w:num w:numId="5" w16cid:durableId="1183400597">
    <w:abstractNumId w:val="3"/>
    <w:lvlOverride w:ilvl="0">
      <w:startOverride w:val="1"/>
    </w:lvlOverride>
  </w:num>
  <w:num w:numId="6" w16cid:durableId="1581524156">
    <w:abstractNumId w:val="2"/>
    <w:lvlOverride w:ilvl="0">
      <w:startOverride w:val="1"/>
    </w:lvlOverride>
  </w:num>
  <w:num w:numId="7" w16cid:durableId="1581524157">
    <w:abstractNumId w:val="3"/>
    <w:lvlOverride w:ilvl="0">
      <w:startOverride w:val="1"/>
    </w:lvlOverride>
  </w:num>
  <w:num w:numId="8" w16cid:durableId="533932941">
    <w:abstractNumId w:val="4"/>
  </w:num>
  <w:num w:numId="9" w16cid:durableId="13982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3A"/>
    <w:rsid w:val="000063B2"/>
    <w:rsid w:val="00085970"/>
    <w:rsid w:val="000B4497"/>
    <w:rsid w:val="001137F4"/>
    <w:rsid w:val="00115A14"/>
    <w:rsid w:val="00152766"/>
    <w:rsid w:val="001679F5"/>
    <w:rsid w:val="00180EAB"/>
    <w:rsid w:val="0021108D"/>
    <w:rsid w:val="0029729F"/>
    <w:rsid w:val="002C2F52"/>
    <w:rsid w:val="0030252E"/>
    <w:rsid w:val="00325746"/>
    <w:rsid w:val="003411C0"/>
    <w:rsid w:val="003D0CBE"/>
    <w:rsid w:val="00406FC3"/>
    <w:rsid w:val="00445B3A"/>
    <w:rsid w:val="00485ACE"/>
    <w:rsid w:val="004957F9"/>
    <w:rsid w:val="004A6751"/>
    <w:rsid w:val="004C3E53"/>
    <w:rsid w:val="00567FBC"/>
    <w:rsid w:val="005A0E62"/>
    <w:rsid w:val="00610914"/>
    <w:rsid w:val="00640A7D"/>
    <w:rsid w:val="006C75CD"/>
    <w:rsid w:val="006E0A43"/>
    <w:rsid w:val="006E6C34"/>
    <w:rsid w:val="00715D5C"/>
    <w:rsid w:val="00747E97"/>
    <w:rsid w:val="00764A09"/>
    <w:rsid w:val="00772E75"/>
    <w:rsid w:val="00791E87"/>
    <w:rsid w:val="007D7897"/>
    <w:rsid w:val="008048DB"/>
    <w:rsid w:val="00840F48"/>
    <w:rsid w:val="00863AEC"/>
    <w:rsid w:val="008A253D"/>
    <w:rsid w:val="008C78BB"/>
    <w:rsid w:val="008F63A5"/>
    <w:rsid w:val="00900F0B"/>
    <w:rsid w:val="00922D5F"/>
    <w:rsid w:val="00923BC3"/>
    <w:rsid w:val="00A33AEB"/>
    <w:rsid w:val="00A6356F"/>
    <w:rsid w:val="00A64C48"/>
    <w:rsid w:val="00A7342A"/>
    <w:rsid w:val="00B048EC"/>
    <w:rsid w:val="00B06FEF"/>
    <w:rsid w:val="00D44E9A"/>
    <w:rsid w:val="00E629BB"/>
    <w:rsid w:val="00EA144D"/>
    <w:rsid w:val="00FF2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652835"/>
  <w15:docId w15:val="{0F13B31D-797F-AD41-A1E7-458C2A0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 w:space="0" w:color="2C3E50"/>
      </w:pBdr>
      <w:spacing w:before="360" w:after="120"/>
      <w:outlineLvl w:val="0"/>
    </w:pPr>
    <w:rPr>
      <w:b/>
      <w:bCs/>
      <w:caps/>
      <w:color w:val="2C3E50"/>
      <w:sz w:val="26"/>
      <w:szCs w:val="26"/>
    </w:rPr>
  </w:style>
  <w:style w:type="paragraph" w:styleId="Heading2">
    <w:name w:val="heading 2"/>
    <w:uiPriority w:val="9"/>
    <w:unhideWhenUsed/>
    <w:qFormat/>
    <w:pPr>
      <w:spacing w:before="240" w:after="100"/>
      <w:outlineLvl w:val="1"/>
    </w:pPr>
    <w:rPr>
      <w:b/>
      <w:bCs/>
      <w:color w:val="34495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4745-9068" TargetMode="External"/><Relationship Id="rId3" Type="http://schemas.openxmlformats.org/officeDocument/2006/relationships/settings" Target="settings.xml"/><Relationship Id="rId7" Type="http://schemas.openxmlformats.org/officeDocument/2006/relationships/hyperlink" Target="https://www.yifatar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1979</Words>
  <Characters>12112</Characters>
  <Application>Microsoft Office Word</Application>
  <DocSecurity>0</DocSecurity>
  <Lines>192</Lines>
  <Paragraphs>45</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יפעת ארן</cp:lastModifiedBy>
  <cp:revision>24</cp:revision>
  <cp:lastPrinted>2026-02-16T10:39:00Z</cp:lastPrinted>
  <dcterms:created xsi:type="dcterms:W3CDTF">2026-02-16T10:39:00Z</dcterms:created>
  <dcterms:modified xsi:type="dcterms:W3CDTF">2026-03-23T16:23:00Z</dcterms:modified>
</cp:coreProperties>
</file>