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083EC438" w14:textId="77777777" w:rsidR="00445B3A" w:rsidRPr="00485ACE" w:rsidRDefault="00445B3A">
      <w:pPr>
        <w:pBdr>
          <w:bottom w:val="single" w:sz="2" w:space="0" w:color="2C3E50"/>
        </w:pBdr>
        <w:spacing w:before="60" w:after="60"/>
        <w:rPr>
          <w:rFonts w:ascii="Garamond" w:hAnsi="Garamond"/>
          <w:color w:val="000000" w:themeColor="text1"/>
        </w:rPr>
      </w:pPr>
    </w:p>
    <w:p w14:paraId="6AFA54BC" w14:textId="77777777" w:rsidR="00445B3A" w:rsidRPr="00485ACE" w:rsidRDefault="00000000">
      <w:pPr>
        <w:pStyle w:val="Heading1"/>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0CBD57D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56DEEEB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3C53C87D" w14:textId="77777777" w:rsidR="00445B3A" w:rsidRPr="00485ACE" w:rsidRDefault="00000000">
      <w:pPr>
        <w:spacing w:after="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753F3980" w14:textId="77777777" w:rsidR="00445B3A" w:rsidRPr="00485ACE" w:rsidRDefault="00000000">
      <w:pPr>
        <w:pStyle w:val="Heading1"/>
        <w:rPr>
          <w:rFonts w:ascii="Garamond" w:hAnsi="Garamond"/>
          <w:color w:val="000000" w:themeColor="text1"/>
        </w:rPr>
      </w:pPr>
      <w:r>
        <w:rPr>
          <w:rFonts w:ascii="Garamond" w:hAnsi="Garamond"/>
          <w:color w:val="000000" w:themeColor="text1"/>
        </w:rPr>
        <w:t>ACADEMIC POSITIONS</w:t>
      </w:r>
    </w:p>
    <w:p w14:paraId="158DD864" w14:textId="6AD1928B"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7DB33596" w14:textId="64695D80"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 xml:space="preserve">Professor </w:t>
      </w:r>
      <w:r w:rsidRPr="00764A09">
        <w:rPr>
          <w:rFonts w:ascii="Garamond" w:hAnsi="Garamond"/>
          <w:color w:val="000000" w:themeColor="text1"/>
        </w:rPr>
        <w:t>(non-tenure-track)</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5F1BC3B6"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Faculty of Law (Host: Prof. Tal Zarsky)</w:t>
      </w:r>
      <w:r>
        <w:rPr>
          <w:rFonts w:ascii="Garamond" w:hAnsi="Garamond"/>
          <w:color w:val="000000" w:themeColor="text1"/>
        </w:rPr>
        <w:tab/>
        <w:t>2020–2021</w:t>
      </w:r>
    </w:p>
    <w:p w14:paraId="472FFF7F"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rPr>
          <w:rFonts w:ascii="Garamond" w:hAnsi="Garamond"/>
          <w:color w:val="000000" w:themeColor="text1"/>
        </w:rPr>
      </w:pPr>
      <w:r>
        <w:rPr>
          <w:rFonts w:ascii="Garamond" w:hAnsi="Garamond"/>
          <w:color w:val="000000" w:themeColor="text1"/>
        </w:rPr>
        <w:t>PROFESSIONAL EXPERIENCE</w:t>
      </w:r>
    </w:p>
    <w:p w14:paraId="7B046B92"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Law Clerk to Chief Justice Dorit Beinisch, Supreme Court of Israel 2010–2011</w:t>
      </w:r>
      <w:r w:rsidRPr="00B06FEF">
        <w:rPr>
          <w:rFonts w:ascii="Garamond" w:hAnsi="Garamond"/>
          <w:color w:val="000000" w:themeColor="text1"/>
        </w:rPr>
        <w:tab/>
      </w:r>
    </w:p>
    <w:p w14:paraId="6F6FE6B4" w14:textId="77777777" w:rsidR="00640A7D" w:rsidRPr="00485ACE" w:rsidRDefault="00640A7D" w:rsidP="00640A7D">
      <w:pPr>
        <w:spacing w:after="50"/>
        <w:rPr>
          <w:rFonts w:ascii="Garamond" w:hAnsi="Garamond"/>
          <w:color w:val="000000" w:themeColor="text1"/>
        </w:rPr>
      </w:pPr>
      <w:r>
        <w:rPr>
          <w:rFonts w:ascii="Garamond" w:hAnsi="Garamond"/>
          <w:color w:val="000000" w:themeColor="text1"/>
        </w:rPr>
        <w:t xml:space="preserve">Member, Israel Bar Association, </w:t>
      </w:r>
      <w:r w:rsidRPr="00180EAB">
        <w:rPr>
          <w:rFonts w:ascii="Garamond" w:hAnsi="Garamond"/>
          <w:color w:val="000000" w:themeColor="text1"/>
        </w:rPr>
        <w:t>2011–present</w:t>
      </w:r>
      <w:r>
        <w:rPr>
          <w:rFonts w:ascii="Garamond" w:hAnsi="Garamond"/>
          <w:b/>
          <w:bCs/>
          <w:color w:val="000000" w:themeColor="text1"/>
        </w:rPr>
        <w:t xml:space="preserve">  </w:t>
      </w:r>
      <w:r>
        <w:rPr>
          <w:rFonts w:ascii="Garamond" w:hAnsi="Garamond"/>
          <w:color w:val="000000" w:themeColor="text1"/>
        </w:rPr>
        <w:tab/>
      </w:r>
    </w:p>
    <w:p w14:paraId="739FBC44"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Senior Law Clerk to Chief Justice Dr. Asher Grunis, Supreme Court of Israel 2012</w:t>
      </w:r>
      <w:r w:rsidRPr="00B06FEF">
        <w:rPr>
          <w:rFonts w:ascii="Garamond" w:hAnsi="Garamond"/>
          <w:color w:val="000000" w:themeColor="text1"/>
        </w:rPr>
        <w:tab/>
      </w:r>
    </w:p>
    <w:p w14:paraId="12022A24" w14:textId="77777777" w:rsidR="00180EAB" w:rsidRDefault="00000000">
      <w:pPr>
        <w:tabs>
          <w:tab w:val="right" w:pos="9026"/>
        </w:tabs>
        <w:spacing w:after="60"/>
        <w:rPr>
          <w:rFonts w:ascii="Garamond" w:hAnsi="Garamond"/>
          <w:color w:val="000000" w:themeColor="text1"/>
        </w:rPr>
      </w:pPr>
      <w:r w:rsidRPr="00B06FEF">
        <w:rPr>
          <w:rFonts w:ascii="Garamond" w:hAnsi="Garamond"/>
          <w:color w:val="000000" w:themeColor="text1"/>
        </w:rPr>
        <w:t>Lawyer, Litigation Department, Abramson &amp; Co., Jerusalem 201</w:t>
      </w:r>
      <w:r w:rsidR="001137F4" w:rsidRPr="00B06FEF">
        <w:rPr>
          <w:rFonts w:ascii="Garamond" w:hAnsi="Garamond"/>
          <w:color w:val="000000" w:themeColor="text1"/>
        </w:rPr>
        <w:t>2</w:t>
      </w:r>
      <w:r w:rsidRPr="00B06FEF">
        <w:rPr>
          <w:rFonts w:ascii="Garamond" w:hAnsi="Garamond"/>
          <w:color w:val="000000" w:themeColor="text1"/>
        </w:rPr>
        <w:t>–2015</w:t>
      </w:r>
    </w:p>
    <w:p w14:paraId="176997EF" w14:textId="04EB5C7E" w:rsidR="00445B3A" w:rsidRPr="00485ACE" w:rsidRDefault="00000000">
      <w:pPr>
        <w:pStyle w:val="Heading1"/>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poorly understood.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rPr>
          <w:rFonts w:ascii="Garamond" w:hAnsi="Garamond"/>
          <w:color w:val="000000" w:themeColor="text1"/>
        </w:rPr>
      </w:pPr>
      <w:r>
        <w:rPr>
          <w:rFonts w:ascii="Garamond" w:hAnsi="Garamond"/>
          <w:color w:val="000000" w:themeColor="text1"/>
        </w:rPr>
        <w:t>Articles in Refereed Journals and Law Reviews</w:t>
      </w:r>
    </w:p>
    <w:p w14:paraId="4B2F4D28" w14:textId="22C4120D"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22900BBD"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102–199 (2019).</w:t>
      </w:r>
    </w:p>
    <w:p w14:paraId="0B1F217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500FC706"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3E3089E9" w14:textId="4D899CB6" w:rsidR="00747E97" w:rsidRPr="00747E97" w:rsidRDefault="00747E97" w:rsidP="00747E97">
      <w:pPr>
        <w:pStyle w:val="ListParagraph"/>
        <w:numPr>
          <w:ilvl w:val="0"/>
          <w:numId w:val="2"/>
        </w:numPr>
        <w:spacing w:after="160" w:line="259" w:lineRule="auto"/>
        <w:rPr>
          <w:rFonts w:ascii="Garamond" w:eastAsiaTheme="majorEastAsia" w:hAnsi="Garamond" w:cstheme="majorBidi"/>
        </w:rPr>
      </w:pPr>
      <w:r w:rsidRPr="00747E97">
        <w:rPr>
          <w:rFonts w:ascii="Garamond" w:eastAsiaTheme="majorEastAsia" w:hAnsi="Garamond" w:cstheme="majorBidi"/>
          <w:b/>
          <w:bCs/>
        </w:rPr>
        <w:lastRenderedPageBreak/>
        <w:t>Yifat Aran</w:t>
      </w:r>
      <w:r w:rsidRPr="00747E97">
        <w:rPr>
          <w:rFonts w:ascii="Garamond" w:eastAsiaTheme="majorEastAsia" w:hAnsi="Garamond" w:cstheme="majorBidi"/>
        </w:rPr>
        <w:t xml:space="preserve"> &amp; Raviv </w:t>
      </w:r>
      <w:r w:rsidRPr="00747E97">
        <w:rPr>
          <w:rFonts w:ascii="Garamond" w:hAnsi="Garamond" w:cstheme="majorBidi"/>
        </w:rPr>
        <w:t xml:space="preserve">Murciano-Goroff, </w:t>
      </w:r>
      <w:r w:rsidRPr="00747E97">
        <w:rPr>
          <w:rFonts w:ascii="Garamond" w:hAnsi="Garamond" w:cstheme="majorBidi"/>
          <w:i/>
          <w:iCs/>
        </w:rPr>
        <w:t>When It Comes to Compensation, More Equity Isn’t Always Better</w:t>
      </w:r>
      <w:r w:rsidRPr="00747E97">
        <w:rPr>
          <w:rFonts w:ascii="Garamond" w:hAnsi="Garamond" w:cstheme="majorBidi"/>
        </w:rPr>
        <w:t xml:space="preserve">, </w:t>
      </w:r>
      <w:r w:rsidRPr="00747E97">
        <w:rPr>
          <w:rFonts w:ascii="Garamond" w:hAnsi="Garamond" w:cstheme="majorBidi"/>
          <w:smallCaps/>
        </w:rPr>
        <w:t>Harvard Business Review</w:t>
      </w:r>
      <w:r w:rsidRPr="00747E97">
        <w:rPr>
          <w:rFonts w:ascii="Garamond" w:hAnsi="Garamond" w:cstheme="majorBidi"/>
        </w:rPr>
        <w:t xml:space="preserve"> (September 12, 2023).</w:t>
      </w:r>
    </w:p>
    <w:p w14:paraId="771696C0" w14:textId="3DF67E32"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24(2)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41D9B30C"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1838D705"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51D60B83" w14:textId="77777777" w:rsidR="00445B3A" w:rsidRPr="0029729F" w:rsidRDefault="00000000">
      <w:pPr>
        <w:pStyle w:val="ListParagraph"/>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numPr>
          <w:ilvl w:val="0"/>
          <w:numId w:val="2"/>
        </w:numPr>
        <w:spacing w:after="160" w:line="259" w:lineRule="auto"/>
        <w:rPr>
          <w:rFonts w:asciiTheme="majorBidi" w:hAnsiTheme="majorBidi" w:cstheme="majorBidi"/>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2026</w:t>
      </w:r>
      <w:r w:rsidRPr="0029729F">
        <w:rPr>
          <w:rFonts w:ascii="Garamond" w:hAnsi="Garamond"/>
          <w:color w:val="000000" w:themeColor="text1"/>
        </w:rPr>
        <w:t xml:space="preserve">). </w:t>
      </w:r>
    </w:p>
    <w:p w14:paraId="1E5FA900" w14:textId="0C11C3E5" w:rsidR="006E6C34" w:rsidRPr="006E6C34"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1B848C57" w14:textId="77777777" w:rsidR="00445B3A" w:rsidRPr="00485ACE" w:rsidRDefault="00000000">
      <w:pPr>
        <w:pStyle w:val="Heading2"/>
        <w:rPr>
          <w:rFonts w:ascii="Garamond" w:hAnsi="Garamond"/>
          <w:color w:val="000000" w:themeColor="text1"/>
        </w:rPr>
      </w:pPr>
      <w:r>
        <w:rPr>
          <w:rFonts w:ascii="Garamond" w:hAnsi="Garamond"/>
          <w:color w:val="000000" w:themeColor="text1"/>
        </w:rPr>
        <w:t>Chapters in Edited Volumes</w:t>
      </w:r>
    </w:p>
    <w:p w14:paraId="4708A0B9"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Specialized Court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310ABF1C"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04527037" w14:textId="77777777" w:rsidR="00445B3A" w:rsidRPr="00485ACE" w:rsidRDefault="00000000">
      <w:pPr>
        <w:pStyle w:val="Heading2"/>
        <w:rPr>
          <w:rFonts w:ascii="Garamond" w:hAnsi="Garamond"/>
          <w:color w:val="000000" w:themeColor="text1"/>
        </w:rPr>
      </w:pPr>
      <w:r>
        <w:rPr>
          <w:rFonts w:ascii="Garamond" w:hAnsi="Garamond"/>
          <w:color w:val="000000" w:themeColor="text1"/>
        </w:rPr>
        <w:t>Other Publications</w:t>
      </w:r>
    </w:p>
    <w:p w14:paraId="69A795B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5D268B7A" w14:textId="77777777" w:rsidR="00445B3A"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4EEFA40D" w14:textId="77777777" w:rsidR="0030252E" w:rsidRPr="00485ACE" w:rsidRDefault="0030252E" w:rsidP="0030252E">
      <w:pPr>
        <w:pStyle w:val="ListParagraph"/>
        <w:numPr>
          <w:ilvl w:val="0"/>
          <w:numId w:val="4"/>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2AC1C1E8"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66389B0D"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4A11D49"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53ED5202"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5270046C"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to Look Beyond Taxation</w:t>
      </w:r>
      <w:r>
        <w:rPr>
          <w:rFonts w:ascii="Garamond" w:hAnsi="Garamond"/>
          <w:color w:val="000000" w:themeColor="text1"/>
        </w:rPr>
        <w:t>, Oxford Business Law Blog (January 2026).</w:t>
      </w:r>
    </w:p>
    <w:p w14:paraId="6A4B8D3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What Brazil Reveals About the Limits of Venture Capital Contract Transplants</w:t>
      </w:r>
      <w:r>
        <w:rPr>
          <w:rFonts w:ascii="Garamond" w:hAnsi="Garamond"/>
          <w:color w:val="000000" w:themeColor="text1"/>
        </w:rPr>
        <w:t>, ECGI Blog (April 27, 2026).</w:t>
      </w:r>
    </w:p>
    <w:p w14:paraId="2E667A14" w14:textId="77777777" w:rsidR="00445B3A" w:rsidRPr="00485ACE" w:rsidRDefault="00000000">
      <w:pPr>
        <w:pStyle w:val="Heading2"/>
        <w:rPr>
          <w:rFonts w:ascii="Garamond" w:hAnsi="Garamond"/>
          <w:color w:val="000000" w:themeColor="text1"/>
        </w:rPr>
      </w:pPr>
      <w:r>
        <w:rPr>
          <w:rFonts w:ascii="Garamond" w:hAnsi="Garamond"/>
          <w:color w:val="000000" w:themeColor="text1"/>
        </w:rPr>
        <w:t>Under Review / Revise &amp; Resubmit</w:t>
      </w:r>
    </w:p>
    <w:p w14:paraId="2C6618C0" w14:textId="208CC5E9" w:rsidR="00445B3A" w:rsidRDefault="00000000">
      <w:pPr>
        <w:pStyle w:val="ListParagraph"/>
        <w:numPr>
          <w:ilvl w:val="0"/>
          <w:numId w:val="5"/>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 Class Firms</w:t>
      </w:r>
      <w:r>
        <w:rPr>
          <w:rFonts w:ascii="Garamond" w:hAnsi="Garamond"/>
          <w:color w:val="000000" w:themeColor="text1"/>
        </w:rPr>
        <w:t xml:space="preserve"> (R&amp;R, </w:t>
      </w:r>
      <w:r>
        <w:rPr>
          <w:rFonts w:ascii="Garamond" w:hAnsi="Garamond"/>
          <w:smallCaps/>
          <w:color w:val="000000" w:themeColor="text1"/>
        </w:rPr>
        <w:t>The Journal of Legal Studies</w:t>
      </w:r>
      <w:r>
        <w:rPr>
          <w:rFonts w:ascii="Garamond" w:hAnsi="Garamond"/>
          <w:color w:val="000000" w:themeColor="text1"/>
        </w:rPr>
        <w:t>).</w:t>
      </w:r>
      <w:r w:rsidR="00863AEC">
        <w:rPr>
          <w:rFonts w:ascii="Garamond" w:hAnsi="Garamond"/>
          <w:color w:val="000000" w:themeColor="text1"/>
        </w:rPr>
        <w:br/>
      </w:r>
      <w:r w:rsidR="00863AEC">
        <w:rPr>
          <w:rFonts w:ascii="Garamond" w:hAnsi="Garamond"/>
          <w:color w:val="000000" w:themeColor="text1"/>
        </w:rPr>
        <w:br/>
      </w:r>
      <w:r w:rsidR="00863AEC">
        <w:rPr>
          <w:rFonts w:ascii="Garamond" w:hAnsi="Garamond"/>
          <w:color w:val="000000" w:themeColor="text1"/>
        </w:rPr>
        <w:br/>
      </w:r>
    </w:p>
    <w:p w14:paraId="65A7B862" w14:textId="2383B30C"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2025–present</w:t>
      </w:r>
      <w:r>
        <w:rPr>
          <w:rFonts w:ascii="Garamond" w:hAnsi="Garamond"/>
          <w:color w:val="000000" w:themeColor="text1"/>
        </w:rPr>
        <w:tab/>
        <w:t xml:space="preserve">The Project on Israel and the Regional Economy, Harvard Business School</w:t>
      </w:r>
    </w:p>
    <w:p w14:paraId="27B2EC9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Institute for the Study of Employee Ownership and Profit Sharing, Rutgers University</w:t>
      </w:r>
    </w:p>
    <w:p w14:paraId="694595F8"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68D2C8E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04519E0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4A28108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7E0E649A"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09366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rPr>
          <w:rFonts w:ascii="Garamond" w:hAnsi="Garamond"/>
          <w:color w:val="000000" w:themeColor="text1"/>
        </w:rPr>
      </w:pPr>
      <w:r>
        <w:rPr>
          <w:rFonts w:ascii="Garamond" w:hAnsi="Garamond"/>
          <w:color w:val="000000" w:themeColor="text1"/>
        </w:rPr>
        <w:t>RESEARCH GRANTS</w:t>
      </w:r>
    </w:p>
    <w:p w14:paraId="7BE3F9E2"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Israeli Science Foundation (ISF). ₪561,000.</w:t>
      </w:r>
    </w:p>
    <w:p w14:paraId="73F64597"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 xml:space="preserve">Co-PI. </w:t>
      </w:r>
      <w:r>
        <w:rPr>
          <w:rFonts w:ascii="Garamond" w:hAnsi="Garamond"/>
          <w:i/>
          <w:iCs/>
          <w:color w:val="000000" w:themeColor="text1"/>
        </w:rPr>
        <w:t>Secondary Sales of Startup Employee Stock in the US and Israel (with Brian Broughman)</w:t>
      </w:r>
      <w:r>
        <w:rPr>
          <w:rFonts w:ascii="Garamond" w:hAnsi="Garamond"/>
          <w:color w:val="000000" w:themeColor="text1"/>
        </w:rPr>
        <w:t>. Vanderbilt University. $10,000.</w:t>
      </w:r>
    </w:p>
    <w:p w14:paraId="49D8A0AD"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1698D934" w14:textId="77777777" w:rsidR="00445B3A" w:rsidRPr="00485ACE" w:rsidRDefault="00000000">
      <w:pPr>
        <w:pStyle w:val="Heading2"/>
        <w:rPr>
          <w:rFonts w:ascii="Garamond" w:hAnsi="Garamond"/>
          <w:color w:val="000000" w:themeColor="text1"/>
        </w:rPr>
      </w:pPr>
      <w:r>
        <w:rPr>
          <w:rFonts w:ascii="Garamond" w:hAnsi="Garamond"/>
          <w:color w:val="000000" w:themeColor="text1"/>
        </w:rPr>
        <w:t>Pending</w:t>
      </w:r>
    </w:p>
    <w:p w14:paraId="00D156E4"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ISF.</w:t>
      </w:r>
    </w:p>
    <w:p w14:paraId="79FF28BD" w14:textId="77777777" w:rsidR="00445B3A" w:rsidRPr="00485ACE" w:rsidRDefault="00000000">
      <w:pPr>
        <w:pStyle w:val="Heading1"/>
        <w:rPr>
          <w:rFonts w:ascii="Garamond" w:hAnsi="Garamond"/>
          <w:color w:val="000000" w:themeColor="text1"/>
        </w:rPr>
      </w:pPr>
      <w:r>
        <w:rPr>
          <w:rFonts w:ascii="Garamond" w:hAnsi="Garamond"/>
          <w:color w:val="000000" w:themeColor="text1"/>
        </w:rPr>
        <w:t>TEACHING</w:t>
      </w:r>
    </w:p>
    <w:p w14:paraId="4CCAD88A"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1CE21182" w14:textId="7F36E6CD"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2022–2023</w:t>
      </w:r>
    </w:p>
    <w:p w14:paraId="4C3176DD" w14:textId="476965FF" w:rsidR="00445B3A" w:rsidRPr="00485ACE" w:rsidRDefault="00000000" w:rsidP="008C78BB">
      <w:pPr>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2023–2024</w:t>
      </w:r>
      <w:r>
        <w:rPr>
          <w:rFonts w:ascii="Garamond" w:hAnsi="Garamond"/>
          <w:color w:val="000000" w:themeColor="text1"/>
        </w:rPr>
        <w:tab/>
      </w:r>
    </w:p>
    <w:p w14:paraId="4EC21481" w14:textId="77777777" w:rsidR="006E0A43" w:rsidRDefault="006E0A43">
      <w:pPr>
        <w:pStyle w:val="Heading1"/>
        <w:rPr>
          <w:rFonts w:ascii="Garamond" w:hAnsi="Garamond"/>
          <w:color w:val="000000" w:themeColor="text1"/>
        </w:rPr>
      </w:pPr>
    </w:p>
    <w:p w14:paraId="08ED37DB" w14:textId="542FF475"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rPr>
          <w:rFonts w:ascii="Garamond" w:hAnsi="Garamond"/>
          <w:color w:val="000000" w:themeColor="text1"/>
        </w:rPr>
      </w:pPr>
      <w:r>
        <w:rPr>
          <w:rFonts w:ascii="Garamond" w:hAnsi="Garamond"/>
          <w:color w:val="000000" w:themeColor="text1"/>
        </w:rPr>
        <w:t>Invited Scholarly Lectures</w:t>
      </w:r>
    </w:p>
    <w:p w14:paraId="6BE28B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32C0F48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Israel and the Regional Economy, Harvard Business School (invited plenary speaker)</w:t>
      </w:r>
    </w:p>
    <w:p w14:paraId="2F713D8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6531C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0A9CE1C"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2D54C92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D7EB849" w14:textId="77777777" w:rsidR="00445B3A" w:rsidRPr="00485ACE" w:rsidRDefault="00000000">
      <w:pPr>
        <w:pStyle w:val="Heading2"/>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LEA Retreat, Vanderbilt University</w:t>
      </w:r>
    </w:p>
    <w:p w14:paraId="309CD9C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0C5C074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418F1F8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2AB972D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LEA Retreat, University of Pennsylvania</w:t>
      </w:r>
    </w:p>
    <w:p w14:paraId="27781C3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45DF4FF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rPr>
          <w:rFonts w:ascii="Garamond" w:hAnsi="Garamond"/>
          <w:color w:val="000000" w:themeColor="text1"/>
        </w:rPr>
      </w:pPr>
      <w:r>
        <w:rPr>
          <w:rFonts w:ascii="Garamond" w:hAnsi="Garamond"/>
          <w:color w:val="000000" w:themeColor="text1"/>
        </w:rPr>
        <w:t>Selected Seminar &amp; Colloquium Talks</w:t>
      </w:r>
    </w:p>
    <w:p w14:paraId="036FD90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44EC74E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3E4E4D5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5CF9C0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7460631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30C556F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1DA55E9A"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66B06B6E"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072D6908"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231173"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Reichman University</w:t>
      </w:r>
    </w:p>
    <w:p w14:paraId="006155CD"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3125580A"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0142A62D" w14:textId="317AC08A" w:rsidR="003D0CBE" w:rsidRPr="003D0CBE" w:rsidRDefault="00000000" w:rsidP="008C78BB">
      <w:pPr>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487EAD4D" w14:textId="77777777" w:rsidR="006E0A43" w:rsidRDefault="006E0A43">
      <w:pPr>
        <w:pStyle w:val="Heading1"/>
        <w:rPr>
          <w:rFonts w:ascii="Garamond" w:hAnsi="Garamond"/>
          <w:color w:val="000000" w:themeColor="text1"/>
        </w:rPr>
      </w:pPr>
    </w:p>
    <w:p w14:paraId="6C2B07DE" w14:textId="06997734"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2B2BA42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3AE1B07A" w14:textId="1405042A" w:rsidR="00A64C48" w:rsidRDefault="00000000" w:rsidP="004C3E53">
      <w:pPr>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43BDB007" w14:textId="36501FD3" w:rsidR="00445B3A" w:rsidRPr="00485ACE" w:rsidRDefault="00000000">
      <w:pPr>
        <w:pStyle w:val="Heading2"/>
        <w:rPr>
          <w:rFonts w:ascii="Garamond" w:hAnsi="Garamond"/>
          <w:color w:val="000000" w:themeColor="text1"/>
        </w:rPr>
      </w:pPr>
      <w:r>
        <w:rPr>
          <w:rFonts w:ascii="Garamond" w:hAnsi="Garamond"/>
          <w:color w:val="000000" w:themeColor="text1"/>
        </w:rPr>
        <w:t>Professional Service</w:t>
      </w:r>
    </w:p>
    <w:p w14:paraId="09D503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4BE6D119"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70F0956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58A185A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47908E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0FBBF30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the Study of Employee Ownership and Profit Sharing, Rutgers University</w:t>
      </w:r>
    </w:p>
    <w:p w14:paraId="386827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6BA767E8" w14:textId="7F3C1574" w:rsidR="00791E87" w:rsidRDefault="00000000" w:rsidP="00A64C48">
      <w:pPr>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w:t>
      </w:r>
    </w:p>
    <w:p w14:paraId="337912B7" w14:textId="77777777" w:rsidR="00445B3A" w:rsidRPr="008C78BB" w:rsidRDefault="00000000">
      <w:pPr>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p w14:paraId="7A2DDE8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Matthew Edward Chippin, Post-Doctoral Fellow (co-supervised with Omer Kimchi): Comparative Distressed Financing Law</w:t>
      </w:r>
    </w:p>
    <w:p w14:paraId="52B4358C" w14:textId="081B689D" w:rsidR="00445B3A" w:rsidRPr="00485ACE" w:rsidRDefault="00445B3A">
      <w:pPr>
        <w:spacing w:after="20"/>
        <w:jc w:val="center"/>
        <w:rPr>
          <w:rFonts w:ascii="Garamond" w:hAnsi="Garamond"/>
          <w:color w:val="000000" w:themeColor="text1"/>
        </w:rPr>
      </w:pPr>
    </w:p>
    <w:sectPr w:rsidR="00445B3A" w:rsidRPr="00485ACE">
      <w:headerReference w:type="default" r:id="rId9"/>
      <w:footerReference w:type="default" r:id="rId10"/>
      <w:pgSz w:w="11906" w:h="16838"/>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60" w:after="120"/>
      <w:outlineLvl w:val="0"/>
    </w:pPr>
    <w:rPr>
      <w:b/>
      <w:bCs/>
      <w:caps/>
      <w:color w:val="2C3E50"/>
      <w:sz w:val="26"/>
      <w:szCs w:val="26"/>
    </w:rPr>
  </w:style>
  <w:style w:type="paragraph" w:styleId="Heading2">
    <w:name w:val="heading 2"/>
    <w:uiPriority w:val="9"/>
    <w:unhideWhenUsed/>
    <w:qFormat/>
    <w:pPr>
      <w:spacing w:before="24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