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1996" w14:textId="77777777" w:rsidR="00445B3A" w:rsidRPr="00485ACE" w:rsidRDefault="00000000">
      <w:pPr>
        <w:spacing w:after="40"/>
        <w:jc w:val="center"/>
        <w:rPr>
          <w:rFonts w:ascii="Garamond" w:hAnsi="Garamond"/>
          <w:color w:val="000000" w:themeColor="text1"/>
        </w:rPr>
      </w:pPr>
      <w:r>
        <w:rPr>
          <w:rFonts w:ascii="Garamond" w:hAnsi="Garamond"/>
          <w:b/>
          <w:bCs/>
          <w:color w:val="000000" w:themeColor="text1"/>
          <w:sz w:val="40"/>
          <w:szCs w:val="40"/>
        </w:rPr>
        <w:t>YIFAT ARAN</w:t>
      </w:r>
    </w:p>
    <w:p w14:paraId="0CAD7BC4" w14:textId="467237B7" w:rsidR="00445B3A" w:rsidRPr="00485ACE" w:rsidRDefault="00791E87">
      <w:pPr>
        <w:spacing w:after="20"/>
        <w:jc w:val="center"/>
        <w:rPr>
          <w:rFonts w:ascii="Garamond" w:hAnsi="Garamond"/>
          <w:color w:val="000000" w:themeColor="text1"/>
        </w:rPr>
      </w:pPr>
      <w:r>
        <w:rPr>
          <w:rFonts w:ascii="Garamond" w:hAnsi="Garamond"/>
          <w:color w:val="000000" w:themeColor="text1"/>
        </w:rPr>
        <w:t>Assistant Professor, Faculty of Law, University of Haifa</w:t>
      </w:r>
    </w:p>
    <w:p w14:paraId="7671D3BC"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aranyifat@law.haifa.ac.il  |  +972-528-357327  |  </w:t>
      </w:r>
      <w:hyperlink r:id="rId7" w:history="1">
        <w:r w:rsidR="00445B3A">
          <w:rPr>
            <w:rStyle w:val="Hyperlink"/>
            <w:rFonts w:ascii="Garamond" w:hAnsi="Garamond"/>
            <w:color w:val="000000" w:themeColor="text1"/>
            <w:sz w:val="20"/>
            <w:szCs w:val="20"/>
          </w:rPr>
          <w:t>www.yifataran.com</w:t>
        </w:r>
      </w:hyperlink>
    </w:p>
    <w:p w14:paraId="07D4C2B8"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ORCID: </w:t>
      </w:r>
      <w:hyperlink r:id="rId8" w:history="1">
        <w:r w:rsidR="00445B3A">
          <w:rPr>
            <w:rStyle w:val="Hyperlink"/>
            <w:rFonts w:ascii="Garamond" w:hAnsi="Garamond"/>
            <w:color w:val="000000" w:themeColor="text1"/>
            <w:sz w:val="20"/>
            <w:szCs w:val="20"/>
          </w:rPr>
          <w:t>0000-0002-4745-9068</w:t>
        </w:r>
      </w:hyperlink>
    </w:p>
    <w:p w14:paraId="083EC438" w14:textId="77777777" w:rsidR="00445B3A" w:rsidRPr="00485ACE" w:rsidRDefault="00445B3A">
      <w:pPr>
        <w:pBdr>
          <w:bottom w:val="single" w:sz="2" w:space="0" w:color="2C3E50"/>
        </w:pBdr>
        <w:spacing w:before="60" w:after="60"/>
        <w:rPr>
          <w:rFonts w:ascii="Garamond" w:hAnsi="Garamond"/>
          <w:color w:val="000000" w:themeColor="text1"/>
        </w:rPr>
      </w:pPr>
    </w:p>
    <w:p w14:paraId="6AFA54BC" w14:textId="77777777" w:rsidR="00445B3A" w:rsidRPr="00485ACE" w:rsidRDefault="00000000">
      <w:pPr>
        <w:pStyle w:val="Heading1"/>
        <w:rPr>
          <w:rFonts w:ascii="Garamond" w:hAnsi="Garamond"/>
          <w:color w:val="000000" w:themeColor="text1"/>
        </w:rPr>
      </w:pPr>
      <w:r>
        <w:rPr>
          <w:rFonts w:ascii="Garamond" w:hAnsi="Garamond"/>
          <w:color w:val="000000" w:themeColor="text1"/>
        </w:rPr>
        <w:t>EDUCATION</w:t>
      </w:r>
    </w:p>
    <w:p w14:paraId="2091999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JSD</w:t>
      </w:r>
      <w:r>
        <w:rPr>
          <w:rFonts w:ascii="Garamond" w:hAnsi="Garamond"/>
          <w:color w:val="000000" w:themeColor="text1"/>
        </w:rPr>
        <w:t>, Stanford University, Law School</w:t>
      </w:r>
      <w:r>
        <w:rPr>
          <w:rFonts w:ascii="Garamond" w:hAnsi="Garamond"/>
          <w:color w:val="000000" w:themeColor="text1"/>
        </w:rPr>
        <w:tab/>
        <w:t>2015–2020</w:t>
      </w:r>
    </w:p>
    <w:p w14:paraId="0CBD57D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JSM</w:t>
      </w:r>
      <w:r>
        <w:rPr>
          <w:rFonts w:ascii="Garamond" w:hAnsi="Garamond"/>
          <w:color w:val="000000" w:themeColor="text1"/>
        </w:rPr>
        <w:t>, Stanford University, Law School</w:t>
      </w:r>
      <w:r>
        <w:rPr>
          <w:rFonts w:ascii="Garamond" w:hAnsi="Garamond"/>
          <w:color w:val="000000" w:themeColor="text1"/>
        </w:rPr>
        <w:tab/>
        <w:t>2014–2015</w:t>
      </w:r>
    </w:p>
    <w:p w14:paraId="56DEEEB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LLM</w:t>
      </w:r>
      <w:r>
        <w:rPr>
          <w:rFonts w:ascii="Garamond" w:hAnsi="Garamond"/>
          <w:color w:val="000000" w:themeColor="text1"/>
        </w:rPr>
        <w:t>, Hebrew University of Jerusalem, Faculty of Law</w:t>
      </w:r>
      <w:r>
        <w:rPr>
          <w:rFonts w:ascii="Garamond" w:hAnsi="Garamond"/>
          <w:color w:val="000000" w:themeColor="text1"/>
        </w:rPr>
        <w:tab/>
        <w:t>2011–2013</w:t>
      </w:r>
    </w:p>
    <w:p w14:paraId="417839F2"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LLB</w:t>
      </w:r>
      <w:r>
        <w:rPr>
          <w:rFonts w:ascii="Garamond" w:hAnsi="Garamond"/>
          <w:color w:val="000000" w:themeColor="text1"/>
        </w:rPr>
        <w:t>, Hebrew University of Jerusalem, Faculty of Law</w:t>
      </w:r>
      <w:r>
        <w:rPr>
          <w:rFonts w:ascii="Garamond" w:hAnsi="Garamond"/>
          <w:color w:val="000000" w:themeColor="text1"/>
        </w:rPr>
        <w:tab/>
        <w:t>2006–2010</w:t>
      </w:r>
    </w:p>
    <w:p w14:paraId="3C53C87D" w14:textId="77777777" w:rsidR="00445B3A" w:rsidRPr="00485ACE" w:rsidRDefault="00000000">
      <w:pPr>
        <w:spacing w:after="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Securities Regulation Framework for Employee Equity-Based Compensation at Privately Held Firms (Supervisor: Joseph A. Grundfest)</w:t>
      </w:r>
    </w:p>
    <w:p w14:paraId="753F3980" w14:textId="77777777" w:rsidR="00445B3A" w:rsidRPr="00485ACE" w:rsidRDefault="00000000">
      <w:pPr>
        <w:pStyle w:val="Heading1"/>
        <w:rPr>
          <w:rFonts w:ascii="Garamond" w:hAnsi="Garamond"/>
          <w:color w:val="000000" w:themeColor="text1"/>
        </w:rPr>
      </w:pPr>
      <w:r>
        <w:rPr>
          <w:rFonts w:ascii="Garamond" w:hAnsi="Garamond"/>
          <w:color w:val="000000" w:themeColor="text1"/>
        </w:rPr>
        <w:t>ACADEMIC POSITIONS</w:t>
      </w:r>
    </w:p>
    <w:p w14:paraId="158DD864" w14:textId="6AD1928B"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Assistant</w:t>
      </w:r>
      <w:r w:rsidRPr="00764A09">
        <w:rPr>
          <w:rFonts w:ascii="Garamond" w:hAnsi="Garamond"/>
          <w:b/>
          <w:bCs/>
          <w:color w:val="000000" w:themeColor="text1"/>
        </w:rPr>
        <w:t xml:space="preserve"> </w:t>
      </w:r>
      <w:r>
        <w:rPr>
          <w:rFonts w:ascii="Garamond" w:hAnsi="Garamond"/>
          <w:b/>
          <w:bCs/>
          <w:color w:val="000000" w:themeColor="text1"/>
        </w:rPr>
        <w:t>Professor</w:t>
      </w:r>
      <w:r w:rsidR="00000000">
        <w:rPr>
          <w:rFonts w:ascii="Garamond" w:hAnsi="Garamond"/>
          <w:color w:val="000000" w:themeColor="text1"/>
        </w:rPr>
        <w:t>, University of Haifa, Faculty of Law</w:t>
      </w:r>
      <w:r w:rsidR="00000000">
        <w:rPr>
          <w:rFonts w:ascii="Garamond" w:hAnsi="Garamond"/>
          <w:color w:val="000000" w:themeColor="text1"/>
        </w:rPr>
        <w:tab/>
        <w:t>2021–present</w:t>
      </w:r>
    </w:p>
    <w:p w14:paraId="7DB33596" w14:textId="64695D80"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sidR="00000000">
        <w:rPr>
          <w:rFonts w:ascii="Garamond" w:hAnsi="Garamond"/>
          <w:b/>
          <w:bCs/>
          <w:color w:val="000000" w:themeColor="text1"/>
        </w:rPr>
        <w:t>Professor</w:t>
      </w:r>
      <w:r>
        <w:rPr>
          <w:rFonts w:ascii="Garamond" w:hAnsi="Garamond"/>
          <w:b/>
          <w:bCs/>
          <w:color w:val="000000" w:themeColor="text1"/>
        </w:rPr>
        <w:t xml:space="preserve"> </w:t>
      </w:r>
      <w:r w:rsidRPr="00764A09">
        <w:rPr>
          <w:rFonts w:ascii="Garamond" w:hAnsi="Garamond"/>
          <w:color w:val="000000" w:themeColor="text1"/>
        </w:rPr>
        <w:t>(</w:t>
      </w:r>
      <w:r w:rsidRPr="00764A09">
        <w:rPr>
          <w:rFonts w:ascii="Garamond" w:hAnsi="Garamond"/>
          <w:color w:val="000000" w:themeColor="text1"/>
        </w:rPr>
        <w:t>non-tenure-track</w:t>
      </w:r>
      <w:r w:rsidRPr="00764A09">
        <w:rPr>
          <w:rFonts w:ascii="Garamond" w:hAnsi="Garamond"/>
          <w:color w:val="000000" w:themeColor="text1"/>
        </w:rPr>
        <w:t>)</w:t>
      </w:r>
      <w:r w:rsidR="00000000">
        <w:rPr>
          <w:rFonts w:ascii="Garamond" w:hAnsi="Garamond"/>
          <w:color w:val="000000" w:themeColor="text1"/>
        </w:rPr>
        <w:t>, Technion – Israel Institute of Technology, Faculty of Data and Decision Sciences</w:t>
      </w:r>
      <w:r w:rsidR="00000000">
        <w:rPr>
          <w:rFonts w:ascii="Garamond" w:hAnsi="Garamond"/>
          <w:color w:val="000000" w:themeColor="text1"/>
        </w:rPr>
        <w:tab/>
        <w:t>2022–present</w:t>
      </w:r>
    </w:p>
    <w:p w14:paraId="5F1BC3B6"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Postdoctoral Research Fellow</w:t>
      </w:r>
      <w:r>
        <w:rPr>
          <w:rFonts w:ascii="Garamond" w:hAnsi="Garamond"/>
          <w:color w:val="000000" w:themeColor="text1"/>
        </w:rPr>
        <w:t>, University of Haifa, Faculty of Law (Host: Prof. Tal Zarsky)</w:t>
      </w:r>
      <w:r>
        <w:rPr>
          <w:rFonts w:ascii="Garamond" w:hAnsi="Garamond"/>
          <w:color w:val="000000" w:themeColor="text1"/>
        </w:rPr>
        <w:tab/>
        <w:t>2020–2021</w:t>
      </w:r>
    </w:p>
    <w:p w14:paraId="472FFF7F"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Technion – Israel Institute of Technology, Faculty of Industrial Engineering and Management</w:t>
      </w:r>
      <w:r>
        <w:rPr>
          <w:rFonts w:ascii="Garamond" w:hAnsi="Garamond"/>
          <w:color w:val="000000" w:themeColor="text1"/>
        </w:rPr>
        <w:tab/>
        <w:t>2020–2021</w:t>
      </w:r>
    </w:p>
    <w:p w14:paraId="176997EF" w14:textId="04EB5C7E" w:rsidR="00445B3A" w:rsidRPr="00485ACE" w:rsidRDefault="00000000">
      <w:pPr>
        <w:pStyle w:val="Heading1"/>
        <w:rPr>
          <w:rFonts w:ascii="Garamond" w:hAnsi="Garamond"/>
          <w:color w:val="000000" w:themeColor="text1"/>
        </w:rPr>
      </w:pPr>
      <w:r>
        <w:rPr>
          <w:rFonts w:ascii="Garamond" w:hAnsi="Garamond"/>
          <w:color w:val="000000" w:themeColor="text1"/>
        </w:rPr>
        <w:t>RESEARCH PROFILE</w:t>
      </w:r>
    </w:p>
    <w:p w14:paraId="48F67BC6" w14:textId="5447FEDA" w:rsidR="00445B3A" w:rsidRPr="00485ACE" w:rsidRDefault="00000000">
      <w:pPr>
        <w:spacing w:after="100"/>
        <w:rPr>
          <w:rFonts w:ascii="Garamond" w:hAnsi="Garamond"/>
          <w:color w:val="000000" w:themeColor="text1"/>
        </w:rPr>
      </w:pPr>
      <w:r>
        <w:rPr>
          <w:rFonts w:ascii="Garamond" w:hAnsi="Garamond"/>
          <w:color w:val="000000" w:themeColor="text1"/>
        </w:rPr>
        <w:t>My research examines the legal architecture of venture-backed innovation, combining doctrinal analysis, empirical methods, and comparative perspectives. It is organized around four interconnected lines of inquiry:</w:t>
      </w:r>
    </w:p>
    <w:p w14:paraId="61000001" w14:textId="1DC33A80" w:rsidR="00445B3A" w:rsidRDefault="00000000">
      <w:pPr>
        <w:spacing w:after="60"/>
        <w:ind w:left="360"/>
        <w:rPr>
          <w:rFonts w:ascii="Garamond" w:hAnsi="Garamond"/>
          <w:color w:val="000000" w:themeColor="text1"/>
        </w:rPr>
      </w:pPr>
      <w:r>
        <w:rPr>
          <w:rFonts w:ascii="Garamond" w:hAnsi="Garamond"/>
          <w:b/>
          <w:bCs/>
          <w:color w:val="000000" w:themeColor="text1"/>
          <w:sz w:val="21"/>
          <w:szCs w:val="21"/>
        </w:rPr>
        <w:t xml:space="preserve">1. Division of Control and Ownership in Private, VC-Backed Companies. </w:t>
      </w:r>
      <w:r>
        <w:rPr>
          <w:rFonts w:ascii="Garamond" w:hAnsi="Garamond"/>
          <w:color w:val="000000" w:themeColor="text1"/>
          <w:sz w:val="21"/>
          <w:szCs w:val="21"/>
        </w:rPr>
        <w:t>How do venture capital investors and founders allocate control rights, economic interests, and governance authority</w:t>
      </w:r>
      <w:r w:rsidR="00791E87">
        <w:rPr>
          <w:rFonts w:ascii="Garamond" w:hAnsi="Garamond"/>
          <w:color w:val="000000" w:themeColor="text1"/>
          <w:sz w:val="21"/>
          <w:szCs w:val="21"/>
        </w:rPr>
        <w:t xml:space="preserve">, </w:t>
      </w:r>
      <w:r>
        <w:rPr>
          <w:rFonts w:ascii="Garamond" w:hAnsi="Garamond"/>
          <w:color w:val="000000" w:themeColor="text1"/>
          <w:sz w:val="21"/>
          <w:szCs w:val="21"/>
        </w:rPr>
        <w:t xml:space="preserve">and what happens when these arrangements break down? This line of work investigates protective provisions, pay-to-play clauses, and the dynamics of founder displacement, drawing on </w:t>
      </w:r>
      <w:r w:rsidR="00791E87">
        <w:rPr>
          <w:rFonts w:ascii="Garamond" w:hAnsi="Garamond"/>
          <w:color w:val="000000" w:themeColor="text1"/>
          <w:sz w:val="21"/>
          <w:szCs w:val="21"/>
        </w:rPr>
        <w:t xml:space="preserve">court cases, </w:t>
      </w:r>
      <w:r>
        <w:rPr>
          <w:rFonts w:ascii="Garamond" w:hAnsi="Garamond"/>
          <w:color w:val="000000" w:themeColor="text1"/>
          <w:sz w:val="21"/>
          <w:szCs w:val="21"/>
        </w:rPr>
        <w:t>hand-collected data and comparative analysis.</w:t>
      </w:r>
    </w:p>
    <w:p w14:paraId="61000002" w14:textId="77777777" w:rsidR="00445B3A" w:rsidRDefault="00000000">
      <w:pPr>
        <w:spacing w:after="60"/>
        <w:ind w:left="360"/>
        <w:rPr>
          <w:rFonts w:ascii="Garamond" w:hAnsi="Garamond"/>
          <w:color w:val="000000" w:themeColor="text1"/>
        </w:rPr>
      </w:pPr>
      <w:r>
        <w:rPr>
          <w:rFonts w:ascii="Garamond" w:hAnsi="Garamond"/>
          <w:b/>
          <w:bCs/>
          <w:color w:val="000000" w:themeColor="text1"/>
          <w:sz w:val="21"/>
          <w:szCs w:val="21"/>
        </w:rPr>
        <w:t xml:space="preserve">2. Equity Compensation and the Intersection of Talent and Capital Markets. </w:t>
      </w:r>
      <w:r>
        <w:rPr>
          <w:rFonts w:ascii="Garamond" w:hAnsi="Garamond"/>
          <w:color w:val="000000" w:themeColor="text1"/>
          <w:sz w:val="21"/>
          <w:szCs w:val="21"/>
        </w:rPr>
        <w:t>Equity-based compensation is central to the startup employment bargain, yet employees frequently misunderstand its value. This research stream examines the growing wedge between nominal and actual ownership stakes, the role of disclosure and securities regulation, and how labor markets and capital structures interact to shape employee wealth outcomes.</w:t>
      </w:r>
    </w:p>
    <w:p w14:paraId="61000003" w14:textId="7C3DF196" w:rsidR="00445B3A" w:rsidRDefault="00000000">
      <w:pPr>
        <w:spacing w:after="60"/>
        <w:ind w:left="360"/>
        <w:rPr>
          <w:rFonts w:ascii="Garamond" w:hAnsi="Garamond"/>
          <w:color w:val="000000" w:themeColor="text1"/>
        </w:rPr>
      </w:pPr>
      <w:r>
        <w:rPr>
          <w:rFonts w:ascii="Garamond" w:hAnsi="Garamond"/>
          <w:b/>
          <w:bCs/>
          <w:color w:val="000000" w:themeColor="text1"/>
          <w:sz w:val="21"/>
          <w:szCs w:val="21"/>
        </w:rPr>
        <w:t xml:space="preserve">3. Post-IPO Governance of VC-Backed Firms. </w:t>
      </w:r>
      <w:r>
        <w:rPr>
          <w:rFonts w:ascii="Garamond" w:hAnsi="Garamond"/>
          <w:color w:val="000000" w:themeColor="text1"/>
          <w:sz w:val="21"/>
          <w:szCs w:val="21"/>
        </w:rPr>
        <w:t>What governance legacies do VC-backed firms carry into the public markets? This work traces how founder-centric structures</w:t>
      </w:r>
      <w:r w:rsidR="00791E87">
        <w:rPr>
          <w:rFonts w:ascii="Garamond" w:hAnsi="Garamond"/>
          <w:color w:val="000000" w:themeColor="text1"/>
          <w:sz w:val="21"/>
          <w:szCs w:val="21"/>
        </w:rPr>
        <w:t xml:space="preserve">, </w:t>
      </w:r>
      <w:r>
        <w:rPr>
          <w:rFonts w:ascii="Garamond" w:hAnsi="Garamond"/>
          <w:color w:val="000000" w:themeColor="text1"/>
          <w:sz w:val="21"/>
          <w:szCs w:val="21"/>
        </w:rPr>
        <w:t>particularly dual-class share architectures</w:t>
      </w:r>
      <w:r w:rsidR="00791E87">
        <w:rPr>
          <w:rFonts w:ascii="Garamond" w:hAnsi="Garamond"/>
          <w:color w:val="000000" w:themeColor="text1"/>
          <w:sz w:val="21"/>
          <w:szCs w:val="21"/>
        </w:rPr>
        <w:t xml:space="preserve">, </w:t>
      </w:r>
      <w:r>
        <w:rPr>
          <w:rFonts w:ascii="Garamond" w:hAnsi="Garamond"/>
          <w:color w:val="000000" w:themeColor="text1"/>
          <w:sz w:val="21"/>
          <w:szCs w:val="21"/>
        </w:rPr>
        <w:t>shape CEO turnover, board composition, and accountability in newly public companies, challenging conventional assumptions about the disciplining effects of going public.</w:t>
      </w:r>
    </w:p>
    <w:p w14:paraId="61000004" w14:textId="4E4C4FE4" w:rsidR="00445B3A" w:rsidRDefault="00000000">
      <w:pPr>
        <w:spacing w:after="100"/>
        <w:ind w:left="360"/>
        <w:rPr>
          <w:rFonts w:ascii="Garamond" w:hAnsi="Garamond"/>
          <w:color w:val="000000" w:themeColor="text1"/>
        </w:rPr>
      </w:pPr>
      <w:r>
        <w:rPr>
          <w:rFonts w:ascii="Garamond" w:hAnsi="Garamond"/>
          <w:b/>
          <w:bCs/>
          <w:color w:val="000000" w:themeColor="text1"/>
          <w:sz w:val="21"/>
          <w:szCs w:val="21"/>
        </w:rPr>
        <w:t xml:space="preserve">4. Comparative Venture Law and the Entrepreneurial Ecosystem. </w:t>
      </w:r>
      <w:r>
        <w:rPr>
          <w:rFonts w:ascii="Garamond" w:hAnsi="Garamond"/>
          <w:color w:val="000000" w:themeColor="text1"/>
          <w:sz w:val="21"/>
          <w:szCs w:val="21"/>
        </w:rPr>
        <w:t>Israel’s innovation ecosystem offers a distinctive vantage point for studying venture law in comparative perspective. This line of research maps the emerging legal infrastructure of Israel’s startup sector</w:t>
      </w:r>
      <w:r w:rsidR="00791E87">
        <w:rPr>
          <w:rFonts w:ascii="Garamond" w:hAnsi="Garamond"/>
          <w:color w:val="000000" w:themeColor="text1"/>
          <w:sz w:val="21"/>
          <w:szCs w:val="21"/>
        </w:rPr>
        <w:t xml:space="preserve">, </w:t>
      </w:r>
      <w:r>
        <w:rPr>
          <w:rFonts w:ascii="Garamond" w:hAnsi="Garamond"/>
          <w:color w:val="000000" w:themeColor="text1"/>
          <w:sz w:val="21"/>
          <w:szCs w:val="21"/>
        </w:rPr>
        <w:t>including due diligence practices, secondary markets, and the enforceability of investor protections</w:t>
      </w:r>
      <w:r w:rsidR="00791E87">
        <w:rPr>
          <w:rFonts w:ascii="Garamond" w:hAnsi="Garamond"/>
          <w:color w:val="000000" w:themeColor="text1"/>
          <w:sz w:val="21"/>
          <w:szCs w:val="21"/>
        </w:rPr>
        <w:t xml:space="preserve">, </w:t>
      </w:r>
      <w:r>
        <w:rPr>
          <w:rFonts w:ascii="Garamond" w:hAnsi="Garamond"/>
          <w:color w:val="000000" w:themeColor="text1"/>
          <w:sz w:val="21"/>
          <w:szCs w:val="21"/>
        </w:rPr>
        <w:t>and situates it within a broader cross-jurisdictional framework spanning Silicon Valley and the European Union.</w:t>
      </w:r>
    </w:p>
    <w:p w14:paraId="32F72D80" w14:textId="77777777" w:rsidR="00445B3A" w:rsidRPr="00485ACE" w:rsidRDefault="00000000">
      <w:pPr>
        <w:pStyle w:val="Heading1"/>
        <w:rPr>
          <w:rFonts w:ascii="Garamond" w:hAnsi="Garamond"/>
          <w:color w:val="000000" w:themeColor="text1"/>
        </w:rPr>
      </w:pPr>
      <w:r>
        <w:rPr>
          <w:rFonts w:ascii="Garamond" w:hAnsi="Garamond"/>
          <w:color w:val="000000" w:themeColor="text1"/>
        </w:rPr>
        <w:t>PUBLICATIONS</w:t>
      </w:r>
    </w:p>
    <w:p w14:paraId="4F9967C8" w14:textId="77777777" w:rsidR="00445B3A" w:rsidRPr="00485ACE" w:rsidRDefault="00000000">
      <w:pPr>
        <w:pStyle w:val="Heading2"/>
        <w:rPr>
          <w:rFonts w:ascii="Garamond" w:hAnsi="Garamond"/>
          <w:color w:val="000000" w:themeColor="text1"/>
        </w:rPr>
      </w:pPr>
      <w:r>
        <w:rPr>
          <w:rFonts w:ascii="Garamond" w:hAnsi="Garamond"/>
          <w:color w:val="000000" w:themeColor="text1"/>
        </w:rPr>
        <w:t>Articles in Refereed Journals and Law Reviews</w:t>
      </w:r>
    </w:p>
    <w:p w14:paraId="4B2F4D28" w14:textId="0B96C1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sidR="007D7897">
        <w:rPr>
          <w:rFonts w:ascii="Garamond" w:hAnsi="Garamond"/>
          <w:color w:val="000000" w:themeColor="text1"/>
        </w:rPr>
        <w:t xml:space="preserve">Note, </w:t>
      </w:r>
      <w:r>
        <w:rPr>
          <w:rFonts w:ascii="Garamond" w:hAnsi="Garamond"/>
          <w:i/>
          <w:iCs/>
          <w:color w:val="000000" w:themeColor="text1"/>
        </w:rPr>
        <w:t>Beyond Covenants Not to Compete: Equilibrium in High-Tech Start-Up Labor Markets</w:t>
      </w:r>
      <w:r>
        <w:rPr>
          <w:rFonts w:ascii="Garamond" w:hAnsi="Garamond"/>
          <w:color w:val="000000" w:themeColor="text1"/>
        </w:rPr>
        <w:t xml:space="preserve">, 70(4) </w:t>
      </w:r>
      <w:r>
        <w:rPr>
          <w:rFonts w:ascii="Garamond" w:hAnsi="Garamond"/>
          <w:smallCaps/>
          <w:color w:val="000000" w:themeColor="text1"/>
        </w:rPr>
        <w:t>Stanford Law Review</w:t>
      </w:r>
      <w:r>
        <w:rPr>
          <w:rFonts w:ascii="Garamond" w:hAnsi="Garamond"/>
          <w:color w:val="000000" w:themeColor="text1"/>
        </w:rPr>
        <w:t xml:space="preserve"> 1235–1294 (2018).</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John Hart Ely Prize in Law and Economics and the Intellectual Property Writing Award, Stanford Law School.</w:t>
      </w:r>
    </w:p>
    <w:p w14:paraId="22900BBD"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Making Disclosure Work for Start-Up Employees</w:t>
      </w:r>
      <w:r>
        <w:rPr>
          <w:rFonts w:ascii="Garamond" w:hAnsi="Garamond"/>
          <w:color w:val="000000" w:themeColor="text1"/>
        </w:rPr>
        <w:t xml:space="preserve">, 2019(3) </w:t>
      </w:r>
      <w:r>
        <w:rPr>
          <w:rFonts w:ascii="Garamond" w:hAnsi="Garamond"/>
          <w:smallCaps/>
          <w:color w:val="000000" w:themeColor="text1"/>
        </w:rPr>
        <w:t>Columbia Business Law Review</w:t>
      </w:r>
      <w:r>
        <w:rPr>
          <w:rFonts w:ascii="Garamond" w:hAnsi="Garamond"/>
          <w:color w:val="000000" w:themeColor="text1"/>
        </w:rPr>
        <w:t xml:space="preserve"> 102–199 (2019).</w:t>
      </w:r>
    </w:p>
    <w:p w14:paraId="0B1F217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lastRenderedPageBreak/>
        <w:t>Featured in Forbes, TechCrunch, and Business Law Prof Blog.</w:t>
      </w:r>
    </w:p>
    <w:p w14:paraId="500FC706"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Startup Law of the Startup Nation</w:t>
      </w:r>
      <w:r>
        <w:rPr>
          <w:rFonts w:ascii="Garamond" w:hAnsi="Garamond"/>
          <w:color w:val="000000" w:themeColor="text1"/>
        </w:rPr>
        <w:t xml:space="preserve"> [in Hebrew], 53 </w:t>
      </w:r>
      <w:r>
        <w:rPr>
          <w:rFonts w:ascii="Garamond" w:hAnsi="Garamond"/>
          <w:smallCaps/>
          <w:color w:val="000000" w:themeColor="text1"/>
        </w:rPr>
        <w:t>Mishpatim Law Review</w:t>
      </w:r>
      <w:r>
        <w:rPr>
          <w:rFonts w:ascii="Garamond" w:hAnsi="Garamond"/>
          <w:color w:val="000000" w:themeColor="text1"/>
        </w:rPr>
        <w:t xml:space="preserve"> 115–183 (2024).</w:t>
      </w:r>
    </w:p>
    <w:p w14:paraId="085319EF"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Cited by the Economic Division of the Tel Aviv District Court in multiple decisions.</w:t>
      </w:r>
    </w:p>
    <w:p w14:paraId="771696C0"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xml:space="preserve">, 24(2) </w:t>
      </w:r>
      <w:r>
        <w:rPr>
          <w:rFonts w:ascii="Garamond" w:hAnsi="Garamond"/>
          <w:smallCaps/>
          <w:color w:val="000000" w:themeColor="text1"/>
        </w:rPr>
        <w:t>Theoretical Inquiries in Law</w:t>
      </w:r>
      <w:r>
        <w:rPr>
          <w:rFonts w:ascii="Garamond" w:hAnsi="Garamond"/>
          <w:color w:val="000000" w:themeColor="text1"/>
        </w:rPr>
        <w:t xml:space="preserve"> 231–263 (2024).</w:t>
      </w:r>
    </w:p>
    <w:p w14:paraId="38A2350B"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Harvard Law School Forum on Corporate Governance and Boardroom Governance Podcast.</w:t>
      </w:r>
    </w:p>
    <w:p w14:paraId="41D9B30C"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Equity Illusions</w:t>
      </w:r>
      <w:r>
        <w:rPr>
          <w:rFonts w:ascii="Garamond" w:hAnsi="Garamond"/>
          <w:color w:val="000000" w:themeColor="text1"/>
        </w:rPr>
        <w:t xml:space="preserve">, 41(1) </w:t>
      </w:r>
      <w:r>
        <w:rPr>
          <w:rFonts w:ascii="Garamond" w:hAnsi="Garamond"/>
          <w:smallCaps/>
          <w:color w:val="000000" w:themeColor="text1"/>
        </w:rPr>
        <w:t>Journal of Law, Economics, &amp; Organization</w:t>
      </w:r>
      <w:r>
        <w:rPr>
          <w:rFonts w:ascii="Garamond" w:hAnsi="Garamond"/>
          <w:color w:val="000000" w:themeColor="text1"/>
        </w:rPr>
        <w:t xml:space="preserve"> 196–238 (2025).</w:t>
      </w:r>
    </w:p>
    <w:p w14:paraId="57B6BB35" w14:textId="615154E6"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2024 AOM Employee Participation and Financial Ownership Scholarly Research Award. Featured in The New York Times, Globes.</w:t>
      </w:r>
    </w:p>
    <w:p w14:paraId="1838D705"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Due Diligence Dilemma</w:t>
      </w:r>
      <w:r>
        <w:rPr>
          <w:rFonts w:ascii="Garamond" w:hAnsi="Garamond"/>
          <w:color w:val="000000" w:themeColor="text1"/>
        </w:rPr>
        <w:t xml:space="preserve">, 2025(4) </w:t>
      </w:r>
      <w:r>
        <w:rPr>
          <w:rFonts w:ascii="Garamond" w:hAnsi="Garamond"/>
          <w:smallCaps/>
          <w:color w:val="000000" w:themeColor="text1"/>
        </w:rPr>
        <w:t>University of Illinois Law Review</w:t>
      </w:r>
      <w:r>
        <w:rPr>
          <w:rFonts w:ascii="Garamond" w:hAnsi="Garamond"/>
          <w:color w:val="000000" w:themeColor="text1"/>
        </w:rPr>
        <w:t xml:space="preserve"> 101–144 (2025).</w:t>
      </w:r>
    </w:p>
    <w:p w14:paraId="579D8A78"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CLS Blue Sky Blog.</w:t>
      </w:r>
    </w:p>
    <w:p w14:paraId="51D60B83" w14:textId="77777777" w:rsidR="00445B3A" w:rsidRDefault="00000000">
      <w:pPr>
        <w:pStyle w:val="ListParagraph"/>
        <w:numPr>
          <w:ilvl w:val="0"/>
          <w:numId w:val="2"/>
        </w:numPr>
        <w:spacing w:after="120"/>
        <w:rPr>
          <w:rFonts w:ascii="Garamond" w:hAnsi="Garamond"/>
          <w:color w:val="000000" w:themeColor="text1"/>
        </w:rPr>
      </w:pPr>
      <w:r>
        <w:rPr>
          <w:rFonts w:ascii="Garamond" w:hAnsi="Garamond"/>
          <w:color w:val="000000" w:themeColor="text1"/>
        </w:rPr>
        <w:t xml:space="preserve">Gad Weiss, Kobi Ben-Chitrit, and </w:t>
      </w: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Let it Go: A Comparative Perspective on the Enforceability of Pay-to-Play Provisions</w:t>
      </w:r>
      <w:r>
        <w:rPr>
          <w:rFonts w:ascii="Garamond" w:hAnsi="Garamond"/>
          <w:color w:val="000000" w:themeColor="text1"/>
        </w:rPr>
        <w:t xml:space="preserve"> [in Hebrew] (forthcoming, </w:t>
      </w:r>
      <w:r>
        <w:rPr>
          <w:rFonts w:ascii="Garamond" w:hAnsi="Garamond"/>
          <w:smallCaps/>
          <w:color w:val="000000" w:themeColor="text1"/>
        </w:rPr>
        <w:t>TAU Law Review</w:t>
      </w:r>
      <w:r>
        <w:rPr>
          <w:rFonts w:ascii="Garamond" w:hAnsi="Garamond"/>
          <w:color w:val="000000" w:themeColor="text1"/>
        </w:rPr>
        <w:t xml:space="preserve"> 2026).</w:t>
      </w:r>
    </w:p>
    <w:p w14:paraId="1E5FA900" w14:textId="00868FA9" w:rsidR="006E6C34" w:rsidRPr="006E6C34" w:rsidRDefault="006E6C34" w:rsidP="006E6C34">
      <w:pPr>
        <w:pStyle w:val="ListParagraph"/>
        <w:numPr>
          <w:ilvl w:val="0"/>
          <w:numId w:val="2"/>
        </w:numPr>
        <w:spacing w:after="80"/>
        <w:rPr>
          <w:rFonts w:ascii="Garamond" w:hAnsi="Garamond"/>
          <w:color w:val="000000" w:themeColor="text1"/>
        </w:rPr>
      </w:pPr>
      <w:r w:rsidRPr="006E6C34">
        <w:rPr>
          <w:rFonts w:ascii="Garamond" w:hAnsi="Garamond"/>
          <w:b/>
          <w:bCs/>
          <w:color w:val="000000" w:themeColor="text1"/>
        </w:rPr>
        <w:t>Yifat Aran</w:t>
      </w:r>
      <w:r w:rsidRPr="006E6C34">
        <w:rPr>
          <w:rFonts w:ascii="Garamond" w:hAnsi="Garamond"/>
          <w:color w:val="000000" w:themeColor="text1"/>
        </w:rPr>
        <w:t xml:space="preserve">, Brian Broughman, and Elizabeth Pollman, </w:t>
      </w:r>
      <w:r w:rsidRPr="006E6C34">
        <w:rPr>
          <w:rFonts w:ascii="Garamond" w:hAnsi="Garamond"/>
          <w:i/>
          <w:iCs/>
          <w:color w:val="000000" w:themeColor="text1"/>
        </w:rPr>
        <w:t>Exit after Exit</w:t>
      </w:r>
      <w:r w:rsidRPr="006E6C34">
        <w:rPr>
          <w:rFonts w:ascii="Garamond" w:hAnsi="Garamond"/>
          <w:color w:val="000000" w:themeColor="text1"/>
        </w:rPr>
        <w:t xml:space="preserve"> (forthcoming, Harvard Business Law Review). </w:t>
      </w:r>
    </w:p>
    <w:p w14:paraId="1B848C57" w14:textId="77777777" w:rsidR="00445B3A" w:rsidRPr="00485ACE" w:rsidRDefault="00000000">
      <w:pPr>
        <w:pStyle w:val="Heading2"/>
        <w:rPr>
          <w:rFonts w:ascii="Garamond" w:hAnsi="Garamond"/>
          <w:color w:val="000000" w:themeColor="text1"/>
        </w:rPr>
      </w:pPr>
      <w:r>
        <w:rPr>
          <w:rFonts w:ascii="Garamond" w:hAnsi="Garamond"/>
          <w:color w:val="000000" w:themeColor="text1"/>
        </w:rPr>
        <w:t>Chapters in Edited Volumes</w:t>
      </w:r>
    </w:p>
    <w:p w14:paraId="4708A0B9"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Moran Ofir, </w:t>
      </w:r>
      <w:r>
        <w:rPr>
          <w:rFonts w:ascii="Garamond" w:hAnsi="Garamond"/>
          <w:i/>
          <w:iCs/>
          <w:color w:val="000000" w:themeColor="text1"/>
        </w:rPr>
        <w:t>The Effect of Specialized Court over Time</w:t>
      </w:r>
      <w:r>
        <w:rPr>
          <w:rFonts w:ascii="Garamond" w:hAnsi="Garamond"/>
          <w:color w:val="000000" w:themeColor="text1"/>
        </w:rPr>
        <w:t xml:space="preserve">, in </w:t>
      </w:r>
      <w:r>
        <w:rPr>
          <w:rFonts w:ascii="Garamond" w:hAnsi="Garamond"/>
          <w:smallCaps/>
          <w:color w:val="000000" w:themeColor="text1"/>
        </w:rPr>
        <w:t>Time, Law and Change: An Interdisciplinary Study</w:t>
      </w:r>
      <w:r>
        <w:rPr>
          <w:rFonts w:ascii="Garamond" w:hAnsi="Garamond"/>
          <w:color w:val="000000" w:themeColor="text1"/>
        </w:rPr>
        <w:t xml:space="preserve"> 167–188 (Sofia Ranchordas &amp; Yaniv Roznai eds., Hart Publishing, 2020).</w:t>
      </w:r>
    </w:p>
    <w:p w14:paraId="310ABF1C"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RSU Time Bomb: Regulating Startup Equity Compensation in the Unicorn Era</w:t>
      </w:r>
      <w:r>
        <w:rPr>
          <w:rFonts w:ascii="Garamond" w:hAnsi="Garamond"/>
          <w:color w:val="000000" w:themeColor="text1"/>
        </w:rPr>
        <w:t xml:space="preserve">, in </w:t>
      </w:r>
      <w:r>
        <w:rPr>
          <w:rFonts w:ascii="Garamond" w:hAnsi="Garamond"/>
          <w:smallCaps/>
          <w:color w:val="000000" w:themeColor="text1"/>
        </w:rPr>
        <w:t>Research Handbook on PE/VC</w:t>
      </w:r>
      <w:r>
        <w:rPr>
          <w:rFonts w:ascii="Garamond" w:hAnsi="Garamond"/>
          <w:color w:val="000000" w:themeColor="text1"/>
        </w:rPr>
        <w:t xml:space="preserve"> (Brian Broughman &amp; Elisabeth de Fontenay eds., 2026).</w:t>
      </w:r>
    </w:p>
    <w:p w14:paraId="04527037" w14:textId="77777777" w:rsidR="00445B3A" w:rsidRPr="00485ACE" w:rsidRDefault="00000000">
      <w:pPr>
        <w:pStyle w:val="Heading2"/>
        <w:rPr>
          <w:rFonts w:ascii="Garamond" w:hAnsi="Garamond"/>
          <w:color w:val="000000" w:themeColor="text1"/>
        </w:rPr>
      </w:pPr>
      <w:r>
        <w:rPr>
          <w:rFonts w:ascii="Garamond" w:hAnsi="Garamond"/>
          <w:color w:val="000000" w:themeColor="text1"/>
        </w:rPr>
        <w:t>Other Publications</w:t>
      </w:r>
    </w:p>
    <w:p w14:paraId="69A795B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SEC should do more to make startup equity compensation transparent</w:t>
      </w:r>
      <w:r>
        <w:rPr>
          <w:rFonts w:ascii="Garamond" w:hAnsi="Garamond"/>
          <w:color w:val="000000" w:themeColor="text1"/>
        </w:rPr>
        <w:t>, TechCrunch (April 24, 2021).</w:t>
      </w:r>
    </w:p>
    <w:p w14:paraId="5D268B7A" w14:textId="77777777" w:rsidR="00445B3A"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A new coalition for “Open Cap Table” presents an opportunity for equity transparency</w:t>
      </w:r>
      <w:r>
        <w:rPr>
          <w:rFonts w:ascii="Garamond" w:hAnsi="Garamond"/>
          <w:color w:val="000000" w:themeColor="text1"/>
        </w:rPr>
        <w:t>, TechCrunch (August 29, 2021).</w:t>
      </w:r>
    </w:p>
    <w:p w14:paraId="4EEFA40D" w14:textId="77777777" w:rsidR="0030252E" w:rsidRPr="00485ACE" w:rsidRDefault="0030252E" w:rsidP="0030252E">
      <w:pPr>
        <w:pStyle w:val="ListParagraph"/>
        <w:numPr>
          <w:ilvl w:val="0"/>
          <w:numId w:val="4"/>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When It Comes to Compensation, More Equity Isn’t Always Better</w:t>
      </w:r>
      <w:r>
        <w:rPr>
          <w:rFonts w:ascii="Garamond" w:hAnsi="Garamond"/>
          <w:color w:val="000000" w:themeColor="text1"/>
        </w:rPr>
        <w:t xml:space="preserve">, </w:t>
      </w:r>
      <w:r>
        <w:rPr>
          <w:rFonts w:ascii="Garamond" w:hAnsi="Garamond"/>
          <w:smallCaps/>
          <w:color w:val="000000" w:themeColor="text1"/>
        </w:rPr>
        <w:t>Harvard Business Review</w:t>
      </w:r>
      <w:r>
        <w:rPr>
          <w:rFonts w:ascii="Garamond" w:hAnsi="Garamond"/>
          <w:color w:val="000000" w:themeColor="text1"/>
        </w:rPr>
        <w:t xml:space="preserve"> (September 12, 2023).</w:t>
      </w:r>
    </w:p>
    <w:p w14:paraId="2AC1C1E8"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Harvard Law School Forum on Corporate Governance (November 29, 2023).</w:t>
      </w:r>
    </w:p>
    <w:p w14:paraId="66389B0D"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Regulating Startup Equity Compensation in the Unicorn Era</w:t>
      </w:r>
      <w:r>
        <w:rPr>
          <w:rFonts w:ascii="Garamond" w:hAnsi="Garamond"/>
          <w:color w:val="000000" w:themeColor="text1"/>
        </w:rPr>
        <w:t>, Oxford Business Law Blog (February 5, 2024).</w:t>
      </w:r>
    </w:p>
    <w:p w14:paraId="24A11D49"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&amp; Elizabeth Pollman, </w:t>
      </w:r>
      <w:r>
        <w:rPr>
          <w:rFonts w:ascii="Garamond" w:hAnsi="Garamond"/>
          <w:i/>
          <w:iCs/>
          <w:color w:val="000000" w:themeColor="text1"/>
        </w:rPr>
        <w:t>CEO Turnover at Dual-Class Firms</w:t>
      </w:r>
      <w:r>
        <w:rPr>
          <w:rFonts w:ascii="Garamond" w:hAnsi="Garamond"/>
          <w:color w:val="000000" w:themeColor="text1"/>
        </w:rPr>
        <w:t>, Harvard Law School Forum on Corporate Governance (January 30, 2025).</w:t>
      </w:r>
    </w:p>
    <w:p w14:paraId="53ED5202"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When Venture Capital’s Speed Runs Ahead of Its Due Diligence</w:t>
      </w:r>
      <w:r>
        <w:rPr>
          <w:rFonts w:ascii="Garamond" w:hAnsi="Garamond"/>
          <w:color w:val="000000" w:themeColor="text1"/>
        </w:rPr>
        <w:t>, CLS Blue Sky Blog (July 17, 2025).</w:t>
      </w:r>
    </w:p>
    <w:p w14:paraId="5270046C"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Casimiro Nigro, </w:t>
      </w:r>
      <w:r>
        <w:rPr>
          <w:rFonts w:ascii="Garamond" w:hAnsi="Garamond"/>
          <w:i/>
          <w:iCs/>
          <w:color w:val="000000" w:themeColor="text1"/>
        </w:rPr>
        <w:t>E.U. Stock Option Policy: Time to Look Beyond Taxation</w:t>
      </w:r>
      <w:r>
        <w:rPr>
          <w:rFonts w:ascii="Garamond" w:hAnsi="Garamond"/>
          <w:color w:val="000000" w:themeColor="text1"/>
        </w:rPr>
        <w:t>, Oxford Business Law Blog (forthcoming, January 2026).</w:t>
      </w:r>
    </w:p>
    <w:p w14:paraId="2E667A14" w14:textId="77777777" w:rsidR="00445B3A" w:rsidRPr="00485ACE" w:rsidRDefault="00000000">
      <w:pPr>
        <w:pStyle w:val="Heading2"/>
        <w:rPr>
          <w:rFonts w:ascii="Garamond" w:hAnsi="Garamond"/>
          <w:color w:val="000000" w:themeColor="text1"/>
        </w:rPr>
      </w:pPr>
      <w:r>
        <w:rPr>
          <w:rFonts w:ascii="Garamond" w:hAnsi="Garamond"/>
          <w:color w:val="000000" w:themeColor="text1"/>
        </w:rPr>
        <w:t>Under Review / Revise &amp; Resubmit</w:t>
      </w:r>
    </w:p>
    <w:p w14:paraId="3ACCA928" w14:textId="6B0AE5D5" w:rsidR="00900F0B" w:rsidRPr="00900F0B" w:rsidRDefault="00900F0B" w:rsidP="00900F0B">
      <w:pPr>
        <w:pStyle w:val="ListParagraph"/>
        <w:numPr>
          <w:ilvl w:val="0"/>
          <w:numId w:val="5"/>
        </w:numPr>
        <w:spacing w:after="160" w:line="259" w:lineRule="auto"/>
        <w:rPr>
          <w:rFonts w:asciiTheme="majorBidi" w:hAnsiTheme="majorBidi" w:cstheme="majorBidi"/>
          <w:sz w:val="24"/>
          <w:szCs w:val="24"/>
        </w:rPr>
      </w:pPr>
      <w:r w:rsidRPr="006E6C34">
        <w:rPr>
          <w:rFonts w:ascii="Garamond" w:hAnsi="Garamond"/>
          <w:b/>
          <w:bCs/>
          <w:color w:val="000000" w:themeColor="text1"/>
        </w:rPr>
        <w:t>Yifat Aran</w:t>
      </w:r>
      <w:r w:rsidRPr="006E6C34">
        <w:rPr>
          <w:rFonts w:ascii="Garamond" w:hAnsi="Garamond"/>
          <w:color w:val="000000" w:themeColor="text1"/>
        </w:rPr>
        <w:t xml:space="preserve">, </w:t>
      </w:r>
      <w:r w:rsidRPr="006E6C34">
        <w:rPr>
          <w:rFonts w:ascii="Garamond" w:hAnsi="Garamond"/>
          <w:i/>
          <w:iCs/>
          <w:color w:val="000000" w:themeColor="text1"/>
        </w:rPr>
        <w:t>Shared Capitalism at a Crossroads: Equity Compensation and Factor Bargaining Power in the Innovation Economy</w:t>
      </w:r>
      <w:r w:rsidRPr="006E6C34">
        <w:rPr>
          <w:rFonts w:ascii="Garamond" w:hAnsi="Garamond"/>
          <w:color w:val="000000" w:themeColor="text1"/>
        </w:rPr>
        <w:t xml:space="preserve"> (</w:t>
      </w:r>
      <w:r>
        <w:rPr>
          <w:rFonts w:ascii="Garamond" w:hAnsi="Garamond"/>
          <w:color w:val="000000" w:themeColor="text1"/>
        </w:rPr>
        <w:t>R&amp;R,</w:t>
      </w:r>
      <w:r w:rsidRPr="006E6C34">
        <w:rPr>
          <w:rFonts w:ascii="Garamond" w:hAnsi="Garamond"/>
          <w:color w:val="000000" w:themeColor="text1"/>
        </w:rPr>
        <w:t xml:space="preserve"> </w:t>
      </w:r>
      <w:r w:rsidRPr="006E6C34">
        <w:rPr>
          <w:rFonts w:ascii="Garamond" w:hAnsi="Garamond"/>
          <w:smallCaps/>
          <w:color w:val="000000" w:themeColor="text1"/>
        </w:rPr>
        <w:t>International Review of Applied Economics</w:t>
      </w:r>
      <w:r>
        <w:rPr>
          <w:rFonts w:ascii="Garamond" w:hAnsi="Garamond"/>
          <w:smallCaps/>
          <w:color w:val="000000" w:themeColor="text1"/>
        </w:rPr>
      </w:r>
      <w:r w:rsidRPr="006E6C34">
        <w:rPr>
          <w:rFonts w:ascii="Garamond" w:hAnsi="Garamond"/>
          <w:color w:val="000000" w:themeColor="text1"/>
        </w:rPr>
        <w:t>)</w:t>
      </w:r>
      <w:r>
        <w:rPr>
          <w:rFonts w:ascii="Garamond" w:hAnsi="Garamond"/>
          <w:color w:val="000000" w:themeColor="text1"/>
        </w:rPr>
        <w:t xml:space="preserve">. </w:t>
      </w:r>
    </w:p>
    <w:p w14:paraId="2C6618C0" w14:textId="77777777" w:rsidR="00445B3A" w:rsidRDefault="00000000">
      <w:pPr>
        <w:pStyle w:val="ListParagraph"/>
        <w:numPr>
          <w:ilvl w:val="0"/>
          <w:numId w:val="5"/>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and Elizabeth Pollman, </w:t>
      </w:r>
      <w:r>
        <w:rPr>
          <w:rFonts w:ascii="Garamond" w:hAnsi="Garamond"/>
          <w:i/>
          <w:iCs/>
          <w:color w:val="000000" w:themeColor="text1"/>
        </w:rPr>
        <w:t>CEO Turnover at Dual Class Firms</w:t>
      </w:r>
      <w:r>
        <w:rPr>
          <w:rFonts w:ascii="Garamond" w:hAnsi="Garamond"/>
          <w:color w:val="000000" w:themeColor="text1"/>
        </w:rPr>
        <w:t xml:space="preserve"> (R&amp;R, </w:t>
      </w:r>
      <w:r>
        <w:rPr>
          <w:rFonts w:ascii="Garamond" w:hAnsi="Garamond"/>
          <w:smallCaps/>
          <w:color w:val="000000" w:themeColor="text1"/>
        </w:rPr>
        <w:t>The Journal of Legal Studies</w:t>
      </w:r>
      <w:r>
        <w:rPr>
          <w:rFonts w:ascii="Garamond" w:hAnsi="Garamond"/>
          <w:color w:val="000000" w:themeColor="text1"/>
        </w:rPr>
        <w:t>).</w:t>
      </w:r>
    </w:p>
    <w:p w14:paraId="65A7B862" w14:textId="2383B30C" w:rsidR="00445B3A" w:rsidRPr="00485ACE" w:rsidRDefault="00000000">
      <w:pPr>
        <w:pStyle w:val="Heading1"/>
        <w:rPr>
          <w:rFonts w:ascii="Garamond" w:hAnsi="Garamond"/>
          <w:color w:val="000000" w:themeColor="text1"/>
        </w:rPr>
      </w:pPr>
      <w:r>
        <w:rPr>
          <w:rFonts w:ascii="Garamond" w:hAnsi="Garamond"/>
          <w:color w:val="000000" w:themeColor="text1"/>
        </w:rPr>
        <w:t>FELLOWSHIPS</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lastRenderedPageBreak/>
        <w:t>2025–present	Fellow, The Project on Israel and the Regional Economy, Harvard Business School</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lastRenderedPageBreak/>
        <w:t>2025</w:t>
      </w:r>
      <w:r>
        <w:rPr>
          <w:rFonts w:ascii="Garamond" w:hAnsi="Garamond"/>
          <w:color w:val="000000" w:themeColor="text1"/>
        </w:rPr>
        <w:tab/>
        <w:t>Nachson and Arieh Mimran Fellowship, Institute for the Study of Employee Ownership and Profit Sharing, Rutgers University</w:t>
      </w:r>
    </w:p>
    <w:p w14:paraId="2454EE45"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2022–2023</w:t>
      </w:r>
      <w:r>
        <w:rPr>
          <w:rFonts w:ascii="Garamond" w:hAnsi="Garamond"/>
          <w:color w:val="000000" w:themeColor="text1"/>
        </w:rPr>
        <w:tab/>
        <w:t>Fellowship, Institute for the Study of Employee Ownership and Profit Sharing, Rutgers University</w:t>
      </w:r>
    </w:p>
    <w:p w14:paraId="694595F8"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w:t>
      </w:r>
      <w:r>
        <w:rPr>
          <w:rFonts w:ascii="Garamond" w:hAnsi="Garamond"/>
          <w:color w:val="000000" w:themeColor="text1"/>
        </w:rPr>
        <w:tab/>
        <w:t>Summer Fellowship, Center for Advanced Studies on the Foundations of Law and Finance (LawFin), Goethe University Frankfurt</w:t>
      </w:r>
    </w:p>
    <w:p w14:paraId="2D974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2017–2020</w:t>
      </w:r>
      <w:r>
        <w:rPr>
          <w:rFonts w:ascii="Garamond" w:hAnsi="Garamond"/>
          <w:color w:val="000000" w:themeColor="text1"/>
        </w:rPr>
        <w:tab/>
        <w:t>Donna Schweers and Thomas Geiser Interdisciplinary Graduate Fellowship (SIGF), Stanford University</w:t>
      </w:r>
    </w:p>
    <w:p w14:paraId="4F5AC8B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M. Olin Fellow in Law and Economics, Stanford Law School</w:t>
      </w:r>
    </w:p>
    <w:p w14:paraId="65A7B862" w14:textId="2383B30C" w:rsidR="00445B3A" w:rsidRPr="00485ACE" w:rsidRDefault="00000000">
      <w:pPr>
        <w:pStyle w:val="Heading1"/>
        <w:rPr>
          <w:rFonts w:ascii="Garamond" w:hAnsi="Garamond"/>
          <w:color w:val="000000" w:themeColor="text1"/>
        </w:rPr>
      </w:pPr>
      <w:r>
        <w:rPr>
          <w:rFonts w:ascii="Garamond" w:hAnsi="Garamond"/>
          <w:color w:val="000000" w:themeColor="text1"/>
        </w:rPr>
        <w:t>AWARDS, HONORS &amp; SCHOLARSHIPS</w:t>
      </w:r>
    </w:p>
    <w:p w14:paraId="415D09BE" w14:textId="69F532CA" w:rsidR="008048DB" w:rsidRDefault="008048DB" w:rsidP="00406FC3">
      <w:pPr>
        <w:tabs>
          <w:tab w:val="left" w:pos="1800"/>
        </w:tabs>
        <w:spacing w:after="60"/>
        <w:ind w:left="1418" w:hanging="1418"/>
        <w:rPr>
          <w:rFonts w:ascii="Garamond" w:hAnsi="Garamond"/>
          <w:b/>
          <w:bCs/>
          <w:color w:val="000000" w:themeColor="text1"/>
        </w:rPr>
      </w:pPr>
      <w:r>
        <w:rPr>
          <w:rFonts w:ascii="Garamond" w:hAnsi="Garamond"/>
          <w:b/>
          <w:bCs/>
          <w:color w:val="000000" w:themeColor="text1"/>
        </w:rPr>
        <w:t xml:space="preserve">2026 </w:t>
      </w:r>
      <w:r>
        <w:rPr>
          <w:rFonts w:ascii="Garamond" w:hAnsi="Garamond"/>
          <w:b/>
          <w:bCs/>
          <w:color w:val="000000" w:themeColor="text1"/>
        </w:rPr>
        <w:tab/>
      </w:r>
      <w:r w:rsidR="001679F5" w:rsidRPr="001679F5">
        <w:rPr>
          <w:rFonts w:ascii="Garamond" w:hAnsi="Garamond"/>
          <w:color w:val="000000" w:themeColor="text1"/>
        </w:rPr>
        <w:t>Annual Research Award</w:t>
      </w:r>
      <w:r w:rsidR="001679F5">
        <w:rPr>
          <w:rFonts w:ascii="Garamond" w:hAnsi="Garamond"/>
          <w:color w:val="000000" w:themeColor="text1"/>
        </w:rPr>
        <w:t xml:space="preserve">, </w:t>
      </w:r>
      <w:r w:rsidR="001679F5" w:rsidRPr="001679F5">
        <w:rPr>
          <w:rFonts w:ascii="Garamond" w:hAnsi="Garamond"/>
          <w:color w:val="000000" w:themeColor="text1"/>
        </w:rPr>
        <w:t>The University of Haifa</w:t>
      </w:r>
      <w:r w:rsidR="001679F5">
        <w:rPr>
          <w:rFonts w:ascii="Garamond" w:hAnsi="Garamond"/>
          <w:color w:val="000000" w:themeColor="text1"/>
        </w:rPr>
        <w:t xml:space="preserve"> (</w:t>
      </w:r>
      <w:r w:rsidR="001679F5" w:rsidRPr="001679F5">
        <w:rPr>
          <w:rFonts w:ascii="Garamond" w:hAnsi="Garamond"/>
          <w:color w:val="000000" w:themeColor="text1"/>
        </w:rPr>
        <w:t>granted to the top 18% of most productive researchers across schools and departments</w:t>
      </w:r>
      <w:r w:rsidR="001679F5">
        <w:rPr>
          <w:rFonts w:ascii="Garamond" w:hAnsi="Garamond"/>
          <w:color w:val="000000" w:themeColor="text1"/>
        </w:rPr>
        <w:t>).</w:t>
      </w:r>
    </w:p>
    <w:p w14:paraId="777D2C6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Shneior Zalman Heshin Prize for Young Scholar, The Hebrew University of Jerusalem</w:t>
      </w:r>
    </w:p>
    <w:p w14:paraId="181CE8F3"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Employee Participation and Financial Ownership Scholarly Research Award, Academy of Management (AOM) HR Division (with Raviv Murciano-Goroff)</w:t>
      </w:r>
    </w:p>
    <w:p w14:paraId="2821660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Etty &amp; Dusty Miller Award for Outstanding Research, University of Haifa</w:t>
      </w:r>
    </w:p>
    <w:p w14:paraId="1EAC65B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Hart Ely Prize in Law and Economics, Stanford Law School</w:t>
      </w:r>
    </w:p>
    <w:p w14:paraId="56C7F04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Intellectual Property Writing Award, Stanford Law School</w:t>
      </w:r>
    </w:p>
    <w:p w14:paraId="68D2C8E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2016–2018</w:t>
      </w:r>
      <w:r>
        <w:rPr>
          <w:rFonts w:ascii="Garamond" w:hAnsi="Garamond"/>
          <w:color w:val="000000" w:themeColor="text1"/>
        </w:rPr>
        <w:tab/>
        <w:t>International Peace Scholarship, P.E.O. International Sisterhood</w:t>
      </w:r>
    </w:p>
    <w:p w14:paraId="797331F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2015–2020</w:t>
      </w:r>
      <w:r>
        <w:rPr>
          <w:rFonts w:ascii="Garamond" w:hAnsi="Garamond"/>
          <w:color w:val="000000" w:themeColor="text1"/>
        </w:rPr>
        <w:tab/>
        <w:t>E. David Fischman Scholarship</w:t>
      </w:r>
    </w:p>
    <w:p w14:paraId="5351CDD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w:t>
      </w:r>
      <w:r>
        <w:rPr>
          <w:rFonts w:ascii="Garamond" w:hAnsi="Garamond"/>
          <w:color w:val="000000" w:themeColor="text1"/>
        </w:rPr>
        <w:tab/>
        <w:t>Gerald Gunther Prize for Outstanding Performance in Modern American Legal Thought, Stanford Law School</w:t>
      </w:r>
    </w:p>
    <w:p w14:paraId="04519E0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2014 &amp; 2019</w:t>
      </w:r>
      <w:r>
        <w:rPr>
          <w:rFonts w:ascii="Garamond" w:hAnsi="Garamond"/>
          <w:color w:val="000000" w:themeColor="text1"/>
        </w:rPr>
        <w:tab/>
        <w:t>Decalogue Fund Scholarship, Hebrew University Law School</w:t>
      </w:r>
    </w:p>
    <w:p w14:paraId="4A28108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 &amp; 2017</w:t>
      </w:r>
      <w:r>
        <w:rPr>
          <w:rFonts w:ascii="Garamond" w:hAnsi="Garamond"/>
          <w:color w:val="000000" w:themeColor="text1"/>
        </w:rPr>
        <w:tab/>
        <w:t>Lamas Fund Scholarship, Hebrew University</w:t>
      </w:r>
    </w:p>
    <w:p w14:paraId="7E0E649A"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2017–2018</w:t>
      </w:r>
      <w:r>
        <w:rPr>
          <w:rFonts w:ascii="Garamond" w:hAnsi="Garamond"/>
          <w:color w:val="000000" w:themeColor="text1"/>
        </w:rPr>
        <w:tab/>
        <w:t>Silvan Cohen Fund Scholarship, Hebrew University Law School</w:t>
      </w:r>
    </w:p>
    <w:p w14:paraId="09366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2010</w:t>
      </w:r>
      <w:r>
        <w:rPr>
          <w:rFonts w:ascii="Garamond" w:hAnsi="Garamond"/>
          <w:color w:val="000000" w:themeColor="text1"/>
        </w:rPr>
        <w:tab/>
        <w:t>Lionel Cohen Award (Class Valedictorian), Hebrew University Law School</w:t>
      </w:r>
    </w:p>
    <w:p w14:paraId="063AF782"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2009</w:t>
      </w:r>
      <w:r>
        <w:rPr>
          <w:rFonts w:ascii="Garamond" w:hAnsi="Garamond"/>
          <w:color w:val="000000" w:themeColor="text1"/>
        </w:rPr>
        <w:tab/>
        <w:t>Wolf Foundation Award for Academic Excellence, Hebrew University</w:t>
      </w:r>
    </w:p>
    <w:p w14:paraId="1F35E8E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2008</w:t>
      </w:r>
      <w:r>
        <w:rPr>
          <w:rFonts w:ascii="Garamond" w:hAnsi="Garamond"/>
          <w:color w:val="000000" w:themeColor="text1"/>
        </w:rPr>
        <w:tab/>
        <w:t>Eisenberg Award for Outstanding Law Student, Hebrew University</w:t>
      </w:r>
    </w:p>
    <w:p w14:paraId="7233D17B" w14:textId="77777777" w:rsidR="00445B3A" w:rsidRPr="00485ACE" w:rsidRDefault="00000000">
      <w:pPr>
        <w:pStyle w:val="Heading1"/>
        <w:rPr>
          <w:rFonts w:ascii="Garamond" w:hAnsi="Garamond"/>
          <w:color w:val="000000" w:themeColor="text1"/>
        </w:rPr>
      </w:pPr>
      <w:r>
        <w:rPr>
          <w:rFonts w:ascii="Garamond" w:hAnsi="Garamond"/>
          <w:color w:val="000000" w:themeColor="text1"/>
        </w:rPr>
        <w:t>RESEARCH GRANTS</w:t>
      </w:r>
    </w:p>
    <w:p w14:paraId="48F86268" w14:textId="77777777" w:rsidR="00445B3A" w:rsidRPr="00485ACE" w:rsidRDefault="00000000">
      <w:pPr>
        <w:pStyle w:val="Heading2"/>
        <w:rPr>
          <w:rFonts w:ascii="Garamond" w:hAnsi="Garamond"/>
          <w:color w:val="000000" w:themeColor="text1"/>
        </w:rPr>
      </w:pPr>
      <w:r>
        <w:rPr>
          <w:rFonts w:ascii="Garamond" w:hAnsi="Garamond"/>
          <w:color w:val="000000" w:themeColor="text1"/>
        </w:rPr>
        <w:t>Funded</w:t>
      </w:r>
    </w:p>
    <w:p w14:paraId="7BE3F9E2"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 xml:space="preserve">PI. </w:t>
      </w:r>
      <w:r>
        <w:rPr>
          <w:rFonts w:ascii="Garamond" w:hAnsi="Garamond"/>
          <w:i/>
          <w:iCs/>
          <w:color w:val="000000" w:themeColor="text1"/>
        </w:rPr>
        <w:t>Theoretical and Comparative Analysis of Startup Ownership</w:t>
      </w:r>
      <w:r>
        <w:rPr>
          <w:rFonts w:ascii="Garamond" w:hAnsi="Garamond"/>
          <w:color w:val="000000" w:themeColor="text1"/>
        </w:rPr>
        <w:t>. Israeli Science Foundation (ISF). ₪561,000.</w:t>
      </w:r>
    </w:p>
    <w:p w14:paraId="73F64597"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 xml:space="preserve">Co-PI. </w:t>
      </w:r>
      <w:r>
        <w:rPr>
          <w:rFonts w:ascii="Garamond" w:hAnsi="Garamond"/>
          <w:i/>
          <w:iCs/>
          <w:color w:val="000000" w:themeColor="text1"/>
        </w:rPr>
        <w:t>Secondary Sales of Startup Employee Stock in the US and Israel (with Brian Broughman)</w:t>
      </w:r>
      <w:r>
        <w:rPr>
          <w:rFonts w:ascii="Garamond" w:hAnsi="Garamond"/>
          <w:color w:val="000000" w:themeColor="text1"/>
        </w:rPr>
        <w:t>. Vanderbilt University. $10,000.</w:t>
      </w:r>
    </w:p>
    <w:p w14:paraId="49D8A0AD"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 xml:space="preserve">PI. </w:t>
      </w:r>
      <w:r>
        <w:rPr>
          <w:rFonts w:ascii="Garamond" w:hAnsi="Garamond"/>
          <w:i/>
          <w:iCs/>
          <w:color w:val="000000" w:themeColor="text1"/>
        </w:rPr>
        <w:t>Indefinitely Private</w:t>
      </w:r>
      <w:r>
        <w:rPr>
          <w:rFonts w:ascii="Garamond" w:hAnsi="Garamond"/>
          <w:color w:val="000000" w:themeColor="text1"/>
        </w:rPr>
        <w:t>. Haifa University International Collaboration Fund. $10,000.</w:t>
      </w:r>
    </w:p>
    <w:p w14:paraId="1698D934" w14:textId="77777777" w:rsidR="00445B3A" w:rsidRPr="00485ACE" w:rsidRDefault="00000000">
      <w:pPr>
        <w:pStyle w:val="Heading2"/>
        <w:rPr>
          <w:rFonts w:ascii="Garamond" w:hAnsi="Garamond"/>
          <w:color w:val="000000" w:themeColor="text1"/>
        </w:rPr>
      </w:pPr>
      <w:r>
        <w:rPr>
          <w:rFonts w:ascii="Garamond" w:hAnsi="Garamond"/>
          <w:color w:val="000000" w:themeColor="text1"/>
        </w:rPr>
        <w:t>Pending</w:t>
      </w:r>
    </w:p>
    <w:p w14:paraId="00D156E4"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2026–2029  </w:t>
      </w:r>
      <w:r>
        <w:rPr>
          <w:rFonts w:ascii="Garamond" w:hAnsi="Garamond"/>
          <w:color w:val="000000" w:themeColor="text1"/>
        </w:rPr>
        <w:t xml:space="preserve">PI. </w:t>
      </w:r>
      <w:r>
        <w:rPr>
          <w:rFonts w:ascii="Garamond" w:hAnsi="Garamond"/>
          <w:i/>
          <w:iCs/>
          <w:color w:val="000000" w:themeColor="text1"/>
        </w:rPr>
        <w:t>Liquidity Without Listing: The Legal and Institutional Infrastructure of Private Capital Markets</w:t>
      </w:r>
      <w:r>
        <w:rPr>
          <w:rFonts w:ascii="Garamond" w:hAnsi="Garamond"/>
          <w:color w:val="000000" w:themeColor="text1"/>
        </w:rPr>
        <w:t>. ISF.</w:t>
      </w:r>
    </w:p>
    <w:p w14:paraId="79FF28BD" w14:textId="77777777" w:rsidR="00445B3A" w:rsidRPr="00485ACE" w:rsidRDefault="00000000">
      <w:pPr>
        <w:pStyle w:val="Heading1"/>
        <w:rPr>
          <w:rFonts w:ascii="Garamond" w:hAnsi="Garamond"/>
          <w:color w:val="000000" w:themeColor="text1"/>
        </w:rPr>
      </w:pPr>
      <w:r>
        <w:rPr>
          <w:rFonts w:ascii="Garamond" w:hAnsi="Garamond"/>
          <w:color w:val="000000" w:themeColor="text1"/>
        </w:rPr>
        <w:t>TEACHING</w:t>
      </w:r>
    </w:p>
    <w:p w14:paraId="4CCAD88A"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(Mandatory)</w:t>
      </w:r>
      <w:r>
        <w:rPr>
          <w:rFonts w:ascii="Garamond" w:hAnsi="Garamond"/>
          <w:color w:val="000000" w:themeColor="text1"/>
        </w:rPr>
        <w:t xml:space="preserve"> (LLB), University of Haifa</w:t>
      </w:r>
      <w:r>
        <w:rPr>
          <w:rFonts w:ascii="Garamond" w:hAnsi="Garamond"/>
          <w:color w:val="000000" w:themeColor="text1"/>
        </w:rPr>
        <w:tab/>
        <w:t>2021–present</w:t>
      </w:r>
    </w:p>
    <w:p w14:paraId="1CE21182" w14:textId="7F36E6CD"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Law and Entrepreneurship (Seminar)</w:t>
      </w:r>
      <w:r>
        <w:rPr>
          <w:rFonts w:ascii="Garamond" w:hAnsi="Garamond"/>
          <w:color w:val="000000" w:themeColor="text1"/>
        </w:rPr>
        <w:t xml:space="preserve"> (LLB), University of Haifa</w:t>
      </w:r>
      <w:r>
        <w:rPr>
          <w:rFonts w:ascii="Garamond" w:hAnsi="Garamond"/>
          <w:color w:val="000000" w:themeColor="text1"/>
        </w:rPr>
        <w:tab/>
        <w:t>2022</w:t>
      </w:r>
      <w:r w:rsidR="002C2F52">
        <w:rPr>
          <w:rFonts w:ascii="Garamond" w:hAnsi="Garamond"/>
          <w:color w:val="000000" w:themeColor="text1"/>
        </w:rPr>
        <w:t>, 2026</w:t>
      </w:r>
    </w:p>
    <w:p w14:paraId="27C666DE" w14:textId="11FAF8E8"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Entrepreneurship and Regulation</w:t>
      </w:r>
      <w:r>
        <w:rPr>
          <w:rFonts w:ascii="Garamond" w:hAnsi="Garamond"/>
          <w:color w:val="000000" w:themeColor="text1"/>
        </w:rPr>
        <w:t xml:space="preserve"> (MBA), Technion </w:t>
      </w:r>
      <w:r>
        <w:rPr>
          <w:rFonts w:ascii="Garamond" w:hAnsi="Garamond"/>
          <w:color w:val="000000" w:themeColor="text1"/>
        </w:rPr>
        <w:tab/>
        <w:t>2022–2023</w:t>
      </w:r>
    </w:p>
    <w:p w14:paraId="016526CC" w14:textId="298BF6F9"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in the ESG Era</w:t>
      </w:r>
      <w:r>
        <w:rPr>
          <w:rFonts w:ascii="Garamond" w:hAnsi="Garamond"/>
          <w:color w:val="000000" w:themeColor="text1"/>
        </w:rPr>
        <w:t xml:space="preserve"> </w:t>
      </w:r>
      <w:r w:rsidR="00610914">
        <w:rPr>
          <w:rFonts w:ascii="Garamond" w:hAnsi="Garamond"/>
          <w:b/>
          <w:bCs/>
          <w:color w:val="000000" w:themeColor="text1"/>
        </w:rPr>
        <w:t>(Seminar)</w:t>
      </w:r>
      <w:r w:rsidR="00610914">
        <w:rPr>
          <w:rFonts w:ascii="Garamond" w:hAnsi="Garamond"/>
          <w:color w:val="000000" w:themeColor="text1"/>
        </w:rPr>
        <w:t xml:space="preserve"> </w:t>
      </w:r>
      <w:r>
        <w:rPr>
          <w:rFonts w:ascii="Garamond" w:hAnsi="Garamond"/>
          <w:color w:val="000000" w:themeColor="text1"/>
        </w:rPr>
        <w:t>(LLM), University of Haifa</w:t>
      </w:r>
      <w:r>
        <w:rPr>
          <w:rFonts w:ascii="Garamond" w:hAnsi="Garamond"/>
          <w:color w:val="000000" w:themeColor="text1"/>
        </w:rPr>
        <w:tab/>
        <w:t>2023–2024</w:t>
      </w:r>
    </w:p>
    <w:p w14:paraId="08ED37DB" w14:textId="77777777" w:rsidR="00445B3A" w:rsidRPr="00485ACE" w:rsidRDefault="00000000">
      <w:pPr>
        <w:pStyle w:val="Heading1"/>
        <w:rPr>
          <w:rFonts w:ascii="Garamond" w:hAnsi="Garamond"/>
          <w:color w:val="000000" w:themeColor="text1"/>
        </w:rPr>
      </w:pPr>
      <w:r>
        <w:rPr>
          <w:rFonts w:ascii="Garamond" w:hAnsi="Garamond"/>
          <w:color w:val="000000" w:themeColor="text1"/>
        </w:rPr>
        <w:t>SELECTED PRESENTATIONS</w:t>
      </w:r>
    </w:p>
    <w:p w14:paraId="0F849205" w14:textId="77777777" w:rsidR="00445B3A" w:rsidRPr="00485ACE" w:rsidRDefault="00000000">
      <w:pPr>
        <w:pStyle w:val="Heading2"/>
        <w:rPr>
          <w:rFonts w:ascii="Garamond" w:hAnsi="Garamond"/>
          <w:color w:val="000000" w:themeColor="text1"/>
        </w:rPr>
      </w:pPr>
      <w:r>
        <w:rPr>
          <w:rFonts w:ascii="Garamond" w:hAnsi="Garamond"/>
          <w:color w:val="000000" w:themeColor="text1"/>
        </w:rPr>
        <w:t>Invited Scholarly Lectures</w:t>
      </w:r>
    </w:p>
    <w:p w14:paraId="6BE28B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Comparative Corporate Governance, Harvard Law School</w:t>
      </w:r>
    </w:p>
    <w:p w14:paraId="32C0F48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Israel and the Regional Economy, Harvard Business School (invited plenary speaker)</w:t>
      </w:r>
    </w:p>
    <w:p w14:paraId="2F713D8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lastRenderedPageBreak/>
        <w:t xml:space="preserve">2025  </w:t>
      </w:r>
      <w:r>
        <w:rPr>
          <w:rFonts w:ascii="Garamond" w:hAnsi="Garamond"/>
          <w:color w:val="000000" w:themeColor="text1"/>
        </w:rPr>
        <w:t>Venture Capital Seminar, Vanderbilt University</w:t>
      </w:r>
    </w:p>
    <w:p w14:paraId="26531C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Seminar for Judges of the Economic and District Courts, Tel Aviv University</w:t>
      </w:r>
    </w:p>
    <w:p w14:paraId="5D7EB849" w14:textId="77777777" w:rsidR="00445B3A" w:rsidRPr="00485ACE" w:rsidRDefault="00000000">
      <w:pPr>
        <w:pStyle w:val="Heading2"/>
        <w:rPr>
          <w:rFonts w:ascii="Garamond" w:hAnsi="Garamond"/>
          <w:color w:val="000000" w:themeColor="text1"/>
        </w:rPr>
      </w:pPr>
      <w:r>
        <w:rPr>
          <w:rFonts w:ascii="Garamond" w:hAnsi="Garamond"/>
          <w:color w:val="000000" w:themeColor="text1"/>
        </w:rPr>
        <w:t>Selected Conference Presentations</w:t>
      </w:r>
    </w:p>
    <w:p w14:paraId="6170BA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01/2026  </w:t>
      </w:r>
      <w:r>
        <w:rPr>
          <w:rFonts w:ascii="Garamond" w:hAnsi="Garamond"/>
          <w:color w:val="000000" w:themeColor="text1"/>
        </w:rPr>
        <w:t>Kelso Symposium, Rutgers Center for the Study of Employee Ownership, New Brunswick, NJ</w:t>
      </w:r>
    </w:p>
    <w:p w14:paraId="3CA66BD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10/2025  </w:t>
      </w:r>
      <w:r>
        <w:rPr>
          <w:rFonts w:ascii="Garamond" w:hAnsi="Garamond"/>
          <w:color w:val="000000" w:themeColor="text1"/>
        </w:rPr>
        <w:t>Israel and the Regional Economy, Harvard Business School, Cambridge, MA (invited plenary)</w:t>
      </w:r>
    </w:p>
    <w:p w14:paraId="5783E63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06/2025  </w:t>
      </w:r>
      <w:r>
        <w:rPr>
          <w:rFonts w:ascii="Garamond" w:hAnsi="Garamond"/>
          <w:color w:val="000000" w:themeColor="text1"/>
        </w:rPr>
        <w:t>Future of Equity Symposium, Palo Alto, CA</w:t>
      </w:r>
    </w:p>
    <w:p w14:paraId="7A24381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09/2024  </w:t>
      </w:r>
      <w:r>
        <w:rPr>
          <w:rFonts w:ascii="Garamond" w:hAnsi="Garamond"/>
          <w:color w:val="000000" w:themeColor="text1"/>
        </w:rPr>
        <w:t>Law and Entrepreneurship Association (LEA) Retreat, San Francisco, CA</w:t>
      </w:r>
    </w:p>
    <w:p w14:paraId="5A883E8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08/2024  </w:t>
      </w:r>
      <w:r>
        <w:rPr>
          <w:rFonts w:ascii="Garamond" w:hAnsi="Garamond"/>
          <w:color w:val="000000" w:themeColor="text1"/>
        </w:rPr>
        <w:t>Second Annual Rutgers-Oxford (Kellogg) Employee Ownership Conference, Oxford, UK (invited plenary)</w:t>
      </w:r>
    </w:p>
    <w:p w14:paraId="37D3335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03/2024  </w:t>
      </w:r>
      <w:r>
        <w:rPr>
          <w:rFonts w:ascii="Garamond" w:hAnsi="Garamond"/>
          <w:color w:val="000000" w:themeColor="text1"/>
        </w:rPr>
        <w:t>Tech, Innovation, Banking, and the Future of Venture Capital, University of Illinois</w:t>
      </w:r>
    </w:p>
    <w:p w14:paraId="3C65148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Symposium on the Research Handbook on PE/VC, Vanderbilt University (invited plenary)</w:t>
      </w:r>
    </w:p>
    <w:p w14:paraId="0CD05D6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LEA Retreat, Vanderbilt University</w:t>
      </w:r>
    </w:p>
    <w:p w14:paraId="309CD9C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06/2023  </w:t>
      </w:r>
      <w:r>
        <w:rPr>
          <w:rFonts w:ascii="Garamond" w:hAnsi="Garamond"/>
          <w:color w:val="000000" w:themeColor="text1"/>
        </w:rPr>
        <w:t>The Law and Finance of Private Equity &amp; Venture Capital (ECGI), University of Oxford</w:t>
      </w:r>
    </w:p>
    <w:p w14:paraId="0C5C07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06/2022  </w:t>
      </w:r>
      <w:r>
        <w:rPr>
          <w:rFonts w:ascii="Garamond" w:hAnsi="Garamond"/>
          <w:color w:val="000000" w:themeColor="text1"/>
        </w:rPr>
        <w:t>VC/PE Conference (ECGI), LawFin Center, Goethe University Frankfurt (invited plenary)</w:t>
      </w:r>
    </w:p>
    <w:p w14:paraId="418F1F8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07/2022  </w:t>
      </w:r>
      <w:r>
        <w:rPr>
          <w:rFonts w:ascii="Garamond" w:hAnsi="Garamond"/>
          <w:color w:val="000000" w:themeColor="text1"/>
        </w:rPr>
        <w:t>Women in Law and Finance Workshop, Goethe University Frankfurt (invited plenary)</w:t>
      </w:r>
    </w:p>
    <w:p w14:paraId="2AB972D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10/2022  </w:t>
      </w:r>
      <w:r>
        <w:rPr>
          <w:rFonts w:ascii="Garamond" w:hAnsi="Garamond"/>
          <w:color w:val="000000" w:themeColor="text1"/>
        </w:rPr>
        <w:t>LEA Retreat, University of Pennsylvania</w:t>
      </w:r>
    </w:p>
    <w:p w14:paraId="27781C3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Pr>
          <w:rFonts w:ascii="Garamond" w:hAnsi="Garamond"/>
          <w:color w:val="000000" w:themeColor="text1"/>
        </w:rPr>
        <w:t>Conference on Empirical Legal Studies (CELS)</w:t>
      </w:r>
    </w:p>
    <w:p w14:paraId="45DF4FF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09/2020  </w:t>
      </w:r>
      <w:r>
        <w:rPr>
          <w:rFonts w:ascii="Garamond" w:hAnsi="Garamond"/>
          <w:color w:val="000000" w:themeColor="text1"/>
        </w:rPr>
        <w:t>Perspectives on Cutting-Edge Issues in VC &amp; PE, ABA Business Law Section (invited plenary)</w:t>
      </w:r>
    </w:p>
    <w:p w14:paraId="230B4C03" w14:textId="77777777" w:rsidR="00445B3A" w:rsidRPr="00485ACE" w:rsidRDefault="00000000">
      <w:pPr>
        <w:pStyle w:val="Heading2"/>
        <w:rPr>
          <w:rFonts w:ascii="Garamond" w:hAnsi="Garamond"/>
          <w:color w:val="000000" w:themeColor="text1"/>
        </w:rPr>
      </w:pPr>
      <w:r>
        <w:rPr>
          <w:rFonts w:ascii="Garamond" w:hAnsi="Garamond"/>
          <w:color w:val="000000" w:themeColor="text1"/>
        </w:rPr>
        <w:t>Selected Seminar &amp; Colloquium Talks</w:t>
      </w:r>
    </w:p>
    <w:p w14:paraId="036FD90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Law &amp; Economics Workshop, Tel Aviv University</w:t>
      </w:r>
    </w:p>
    <w:p w14:paraId="44EC74E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Radzyner Law School, Reichman University</w:t>
      </w:r>
    </w:p>
    <w:p w14:paraId="3E4E4D5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Adelson School of Entrepreneurship, Reichman University</w:t>
      </w:r>
    </w:p>
    <w:p w14:paraId="5CF9C0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Private Law Workshop, The Hebrew University of Jerusalem</w:t>
      </w:r>
    </w:p>
    <w:p w14:paraId="7460631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Law and Entrepreneurship Seminar, The Hebrew University of Jerusalem</w:t>
      </w:r>
    </w:p>
    <w:p w14:paraId="30C556F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Law, Economics, and Accounting Workshop, UC Berkeley Law School</w:t>
      </w:r>
    </w:p>
    <w:p w14:paraId="1DA55E9A"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High Tech Law Seminar, The Hebrew University of Jerusalem</w:t>
      </w:r>
    </w:p>
    <w:p w14:paraId="6C2B07DE" w14:textId="77777777" w:rsidR="00445B3A" w:rsidRPr="00485ACE" w:rsidRDefault="00000000">
      <w:pPr>
        <w:pStyle w:val="Heading1"/>
        <w:rPr>
          <w:rFonts w:ascii="Garamond" w:hAnsi="Garamond"/>
          <w:color w:val="000000" w:themeColor="text1"/>
        </w:rPr>
      </w:pPr>
      <w:r>
        <w:rPr>
          <w:rFonts w:ascii="Garamond" w:hAnsi="Garamond"/>
          <w:color w:val="000000" w:themeColor="text1"/>
        </w:rPr>
        <w:t>SERVICE</w:t>
      </w:r>
    </w:p>
    <w:p w14:paraId="49D9CC41" w14:textId="77777777" w:rsidR="00445B3A" w:rsidRPr="00485ACE" w:rsidRDefault="00000000">
      <w:pPr>
        <w:pStyle w:val="Heading2"/>
        <w:rPr>
          <w:rFonts w:ascii="Garamond" w:hAnsi="Garamond"/>
          <w:color w:val="000000" w:themeColor="text1"/>
        </w:rPr>
      </w:pPr>
      <w:r>
        <w:rPr>
          <w:rFonts w:ascii="Garamond" w:hAnsi="Garamond"/>
          <w:color w:val="000000" w:themeColor="text1"/>
        </w:rPr>
        <w:t>University Service</w:t>
      </w:r>
    </w:p>
    <w:p w14:paraId="437DB62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Member, Law School Admissions Committee, University of Haifa</w:t>
      </w:r>
    </w:p>
    <w:p w14:paraId="48C1B6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Research Authority Council, University of Haifa</w:t>
      </w:r>
    </w:p>
    <w:p w14:paraId="4A75FB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2023–2024  </w:t>
      </w:r>
      <w:r>
        <w:rPr>
          <w:rFonts w:ascii="Garamond" w:hAnsi="Garamond"/>
          <w:color w:val="000000" w:themeColor="text1"/>
        </w:rPr>
        <w:t>Faculty Seminar Coordinator, University of Haifa School of Law</w:t>
      </w:r>
    </w:p>
    <w:p w14:paraId="2B2BA42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2021–2024  </w:t>
      </w:r>
      <w:r>
        <w:rPr>
          <w:rFonts w:ascii="Garamond" w:hAnsi="Garamond"/>
          <w:color w:val="000000" w:themeColor="text1"/>
        </w:rPr>
        <w:t>Member of the Research Authority Council, University of Haifa School of Law</w:t>
      </w:r>
    </w:p>
    <w:p w14:paraId="3AE1B07A" w14:textId="1405042A" w:rsidR="00A64C48" w:rsidRDefault="00000000" w:rsidP="004C3E53">
      <w:pPr>
        <w:spacing w:after="50"/>
        <w:rPr>
          <w:rFonts w:ascii="Garamond" w:hAnsi="Garamond"/>
          <w:color w:val="000000" w:themeColor="text1"/>
        </w:rPr>
      </w:pPr>
      <w:r>
        <w:rPr>
          <w:rFonts w:ascii="Garamond" w:hAnsi="Garamond"/>
          <w:b/>
          <w:bCs/>
          <w:color w:val="000000" w:themeColor="text1"/>
        </w:rPr>
        <w:t xml:space="preserve">2022–2024  </w:t>
      </w:r>
      <w:r>
        <w:rPr>
          <w:rFonts w:ascii="Garamond" w:hAnsi="Garamond"/>
          <w:color w:val="000000" w:themeColor="text1"/>
        </w:rPr>
        <w:t>Oversaw preparation of top candidates for Supreme Court and other competitive positions</w:t>
      </w:r>
    </w:p>
    <w:p w14:paraId="43BDB007" w14:textId="36501FD3" w:rsidR="00445B3A" w:rsidRPr="00485ACE" w:rsidRDefault="00000000">
      <w:pPr>
        <w:pStyle w:val="Heading2"/>
        <w:rPr>
          <w:rFonts w:ascii="Garamond" w:hAnsi="Garamond"/>
          <w:color w:val="000000" w:themeColor="text1"/>
        </w:rPr>
      </w:pPr>
      <w:r>
        <w:rPr>
          <w:rFonts w:ascii="Garamond" w:hAnsi="Garamond"/>
          <w:color w:val="000000" w:themeColor="text1"/>
        </w:rPr>
        <w:t>Professional Service</w:t>
      </w:r>
    </w:p>
    <w:p w14:paraId="09D503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Co-Chair, Employee Participation and Financial Ownership Award Committee, HR Division of the Academy of Management</w:t>
      </w:r>
    </w:p>
    <w:p w14:paraId="4BE6D119"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2025–present  </w:t>
      </w:r>
      <w:r>
        <w:rPr>
          <w:rFonts w:ascii="Garamond" w:hAnsi="Garamond"/>
          <w:color w:val="000000" w:themeColor="text1"/>
        </w:rPr>
        <w:t>Fellow, Institute for the Study of Employee Ownership and Profit Sharing, Rutgers University</w:t>
      </w:r>
    </w:p>
    <w:p w14:paraId="70F0956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2023–present  </w:t>
      </w:r>
      <w:r>
        <w:rPr>
          <w:rFonts w:ascii="Garamond" w:hAnsi="Garamond"/>
          <w:color w:val="000000" w:themeColor="text1"/>
        </w:rPr>
        <w:t>Member, Steering Committee, Israeli Law and Economics Association (ILEA)</w:t>
      </w:r>
    </w:p>
    <w:p w14:paraId="58A185A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2021–present  </w:t>
      </w:r>
      <w:r>
        <w:rPr>
          <w:rFonts w:ascii="Garamond" w:hAnsi="Garamond"/>
          <w:color w:val="000000" w:themeColor="text1"/>
        </w:rPr>
        <w:t>Co-Founder and Co-Chair, “Chaverot” — Israeli Women in Business Law Forum</w:t>
      </w:r>
    </w:p>
    <w:p w14:paraId="47908E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Law and Finance (ILF), Goethe University Frankfurt</w:t>
      </w:r>
    </w:p>
    <w:p w14:paraId="0FBBF30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the Study of Employee Ownership and Profit Sharing, Rutgers University</w:t>
      </w:r>
    </w:p>
    <w:p w14:paraId="386827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Member, Global Equity Organization (GEO), Silicon Valley and Middle East branches</w:t>
      </w:r>
    </w:p>
    <w:p w14:paraId="6BA767E8" w14:textId="7F3C1574" w:rsidR="00791E87" w:rsidRDefault="00000000" w:rsidP="00A64C48">
      <w:pPr>
        <w:spacing w:after="50"/>
        <w:rPr>
          <w:rFonts w:ascii="Garamond" w:hAnsi="Garamond"/>
          <w:color w:val="000000" w:themeColor="text1"/>
        </w:rPr>
      </w:pPr>
      <w:r>
        <w:rPr>
          <w:rFonts w:ascii="Garamond" w:hAnsi="Garamond"/>
          <w:b/>
          <w:bCs/>
          <w:color w:val="000000" w:themeColor="text1"/>
        </w:rPr>
        <w:t xml:space="preserve">2011–present  </w:t>
      </w:r>
      <w:r>
        <w:rPr>
          <w:rFonts w:ascii="Garamond" w:hAnsi="Garamond"/>
          <w:color w:val="000000" w:themeColor="text1"/>
        </w:rPr>
        <w:t>Member, Israel Bar Association</w:t>
      </w:r>
    </w:p>
    <w:p w14:paraId="378CAE27" w14:textId="77777777" w:rsidR="00445B3A" w:rsidRPr="00485ACE" w:rsidRDefault="00000000">
      <w:pPr>
        <w:pStyle w:val="Heading2"/>
        <w:rPr>
          <w:rFonts w:ascii="Garamond" w:hAnsi="Garamond"/>
          <w:color w:val="000000" w:themeColor="text1"/>
        </w:rPr>
      </w:pPr>
      <w:r>
        <w:rPr>
          <w:rFonts w:ascii="Garamond" w:hAnsi="Garamond"/>
          <w:color w:val="000000" w:themeColor="text1"/>
        </w:rPr>
        <w:lastRenderedPageBreak/>
        <w:t>Conference Organization (Selected)</w:t>
      </w:r>
    </w:p>
    <w:p w14:paraId="2B01DC3F"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12/2025  </w:t>
      </w:r>
      <w:r>
        <w:rPr>
          <w:rFonts w:ascii="Garamond" w:hAnsi="Garamond"/>
          <w:color w:val="000000" w:themeColor="text1"/>
        </w:rPr>
        <w:t>ILEA Annual Conference 2025, Bar Ilan (Organizing Committee, Panel Chair)</w:t>
      </w:r>
    </w:p>
    <w:p w14:paraId="016B1AB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12/2024  </w:t>
      </w:r>
      <w:r>
        <w:rPr>
          <w:rFonts w:ascii="Garamond" w:hAnsi="Garamond"/>
          <w:color w:val="000000" w:themeColor="text1"/>
        </w:rPr>
        <w:t>Between Market and Ideology: The Past and Future of Intellectual Property, Haifa (Organizer)</w:t>
      </w:r>
    </w:p>
    <w:p w14:paraId="04EC3F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07/2024  </w:t>
      </w:r>
      <w:r>
        <w:rPr>
          <w:rFonts w:ascii="Garamond" w:hAnsi="Garamond"/>
          <w:color w:val="000000" w:themeColor="text1"/>
        </w:rPr>
        <w:t>Law and Policy for NFTs, University of Haifa (Organizing Committee)</w:t>
      </w:r>
    </w:p>
    <w:p w14:paraId="765123C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ILEA Annual Conference, The Hebrew University (Organizer, Steering Committee)</w:t>
      </w:r>
    </w:p>
    <w:p w14:paraId="21D77C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Chaverot Forum 2024, Reichman University (Co-Organizer)</w:t>
      </w:r>
    </w:p>
    <w:p w14:paraId="62DF6AB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05/2024  </w:t>
      </w:r>
      <w:r>
        <w:rPr>
          <w:rFonts w:ascii="Garamond" w:hAnsi="Garamond"/>
          <w:color w:val="000000" w:themeColor="text1"/>
        </w:rPr>
        <w:t>Investing for All: The Past and Future of Investment Crowdfunding, University of Haifa (Organizer)</w:t>
      </w:r>
    </w:p>
    <w:p w14:paraId="300E665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The Crypto Crisis (Organizer, Panel Chair)</w:t>
      </w:r>
    </w:p>
    <w:p w14:paraId="337912B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02/2021  </w:t>
      </w:r>
      <w:r>
        <w:rPr>
          <w:rFonts w:ascii="Garamond" w:hAnsi="Garamond"/>
          <w:color w:val="000000" w:themeColor="text1"/>
        </w:rPr>
        <w:t>GameStop and its Consequences (Organizer, Panelist)</w:t>
      </w:r>
    </w:p>
    <w:sectPr w:rsidR="00445B3A" w:rsidRPr="00485ACE">
      <w:headerReference w:type="default" r:id="rId9"/>
      <w:footerReference w:type="default" r:id="rId10"/>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BB45" w14:textId="77777777" w:rsidR="000063B2" w:rsidRDefault="000063B2">
      <w:r>
        <w:separator/>
      </w:r>
    </w:p>
  </w:endnote>
  <w:endnote w:type="continuationSeparator" w:id="0">
    <w:p w14:paraId="4DBF2DF6" w14:textId="77777777" w:rsidR="000063B2" w:rsidRDefault="00006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1B6C" w14:textId="77777777" w:rsidR="00445B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85AC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5AC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C8D3" w14:textId="77777777" w:rsidR="000063B2" w:rsidRDefault="000063B2">
      <w:r>
        <w:separator/>
      </w:r>
    </w:p>
  </w:footnote>
  <w:footnote w:type="continuationSeparator" w:id="0">
    <w:p w14:paraId="5B1AA895" w14:textId="77777777" w:rsidR="000063B2" w:rsidRDefault="00006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787" w14:textId="77777777" w:rsidR="00445B3A" w:rsidRDefault="00000000">
    <w:pPr>
      <w:jc w:val="right"/>
    </w:pPr>
    <w:r>
      <w:rPr>
        <w:i/>
        <w:iCs/>
        <w:color w:val="888888"/>
        <w:sz w:val="18"/>
        <w:szCs w:val="18"/>
      </w:rPr>
      <w:t>Yifat Aran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E69"/>
    <w:multiLevelType w:val="hybridMultilevel"/>
    <w:tmpl w:val="B394D982"/>
    <w:lvl w:ilvl="0" w:tplc="C84461F4">
      <w:start w:val="1"/>
      <w:numFmt w:val="bullet"/>
      <w:lvlText w:val="•"/>
      <w:lvlJc w:val="left"/>
      <w:pPr>
        <w:ind w:left="720" w:hanging="360"/>
      </w:pPr>
    </w:lvl>
    <w:lvl w:ilvl="1" w:tplc="27900B94">
      <w:numFmt w:val="decimal"/>
      <w:lvlText w:val=""/>
      <w:lvlJc w:val="left"/>
    </w:lvl>
    <w:lvl w:ilvl="2" w:tplc="79EE4470">
      <w:numFmt w:val="decimal"/>
      <w:lvlText w:val=""/>
      <w:lvlJc w:val="left"/>
    </w:lvl>
    <w:lvl w:ilvl="3" w:tplc="E13C3D08">
      <w:numFmt w:val="decimal"/>
      <w:lvlText w:val=""/>
      <w:lvlJc w:val="left"/>
    </w:lvl>
    <w:lvl w:ilvl="4" w:tplc="F0988662">
      <w:numFmt w:val="decimal"/>
      <w:lvlText w:val=""/>
      <w:lvlJc w:val="left"/>
    </w:lvl>
    <w:lvl w:ilvl="5" w:tplc="DF30C610">
      <w:numFmt w:val="decimal"/>
      <w:lvlText w:val=""/>
      <w:lvlJc w:val="left"/>
    </w:lvl>
    <w:lvl w:ilvl="6" w:tplc="0F2ED70E">
      <w:numFmt w:val="decimal"/>
      <w:lvlText w:val=""/>
      <w:lvlJc w:val="left"/>
    </w:lvl>
    <w:lvl w:ilvl="7" w:tplc="D86E7AC0">
      <w:numFmt w:val="decimal"/>
      <w:lvlText w:val=""/>
      <w:lvlJc w:val="left"/>
    </w:lvl>
    <w:lvl w:ilvl="8" w:tplc="765C46CA">
      <w:numFmt w:val="decimal"/>
      <w:lvlText w:val=""/>
      <w:lvlJc w:val="left"/>
    </w:lvl>
  </w:abstractNum>
  <w:abstractNum w:abstractNumId="1" w15:restartNumberingAfterBreak="0">
    <w:nsid w:val="200464C9"/>
    <w:multiLevelType w:val="hybridMultilevel"/>
    <w:tmpl w:val="944A4792"/>
    <w:lvl w:ilvl="0" w:tplc="162605A4">
      <w:start w:val="1"/>
      <w:numFmt w:val="decimal"/>
      <w:lvlText w:val="%1."/>
      <w:lvlJc w:val="left"/>
      <w:pPr>
        <w:ind w:left="360" w:hanging="360"/>
      </w:pPr>
    </w:lvl>
    <w:lvl w:ilvl="1" w:tplc="A04AA608">
      <w:numFmt w:val="decimal"/>
      <w:lvlText w:val=""/>
      <w:lvlJc w:val="left"/>
    </w:lvl>
    <w:lvl w:ilvl="2" w:tplc="FF1A4D78">
      <w:numFmt w:val="decimal"/>
      <w:lvlText w:val=""/>
      <w:lvlJc w:val="left"/>
    </w:lvl>
    <w:lvl w:ilvl="3" w:tplc="83E8E780">
      <w:numFmt w:val="decimal"/>
      <w:lvlText w:val=""/>
      <w:lvlJc w:val="left"/>
    </w:lvl>
    <w:lvl w:ilvl="4" w:tplc="C55CD8D0">
      <w:numFmt w:val="decimal"/>
      <w:lvlText w:val=""/>
      <w:lvlJc w:val="left"/>
    </w:lvl>
    <w:lvl w:ilvl="5" w:tplc="647A273A">
      <w:numFmt w:val="decimal"/>
      <w:lvlText w:val=""/>
      <w:lvlJc w:val="left"/>
    </w:lvl>
    <w:lvl w:ilvl="6" w:tplc="66321252">
      <w:numFmt w:val="decimal"/>
      <w:lvlText w:val=""/>
      <w:lvlJc w:val="left"/>
    </w:lvl>
    <w:lvl w:ilvl="7" w:tplc="254E7BA8">
      <w:numFmt w:val="decimal"/>
      <w:lvlText w:val=""/>
      <w:lvlJc w:val="left"/>
    </w:lvl>
    <w:lvl w:ilvl="8" w:tplc="446C2DD6">
      <w:numFmt w:val="decimal"/>
      <w:lvlText w:val=""/>
      <w:lvlJc w:val="left"/>
    </w:lvl>
  </w:abstractNum>
  <w:abstractNum w:abstractNumId="2" w15:restartNumberingAfterBreak="0">
    <w:nsid w:val="28F738EE"/>
    <w:multiLevelType w:val="hybridMultilevel"/>
    <w:tmpl w:val="94F276D6"/>
    <w:lvl w:ilvl="0" w:tplc="8F9838D0">
      <w:start w:val="1"/>
      <w:numFmt w:val="decimal"/>
      <w:lvlText w:val="%1."/>
      <w:lvlJc w:val="left"/>
      <w:pPr>
        <w:ind w:left="360" w:hanging="360"/>
      </w:pPr>
    </w:lvl>
    <w:lvl w:ilvl="1" w:tplc="FF6EADE2">
      <w:numFmt w:val="decimal"/>
      <w:lvlText w:val=""/>
      <w:lvlJc w:val="left"/>
    </w:lvl>
    <w:lvl w:ilvl="2" w:tplc="4B4C27C2">
      <w:numFmt w:val="decimal"/>
      <w:lvlText w:val=""/>
      <w:lvlJc w:val="left"/>
    </w:lvl>
    <w:lvl w:ilvl="3" w:tplc="95DE0300">
      <w:numFmt w:val="decimal"/>
      <w:lvlText w:val=""/>
      <w:lvlJc w:val="left"/>
    </w:lvl>
    <w:lvl w:ilvl="4" w:tplc="585C1C62">
      <w:numFmt w:val="decimal"/>
      <w:lvlText w:val=""/>
      <w:lvlJc w:val="left"/>
    </w:lvl>
    <w:lvl w:ilvl="5" w:tplc="419A30A4">
      <w:numFmt w:val="decimal"/>
      <w:lvlText w:val=""/>
      <w:lvlJc w:val="left"/>
    </w:lvl>
    <w:lvl w:ilvl="6" w:tplc="81FC00AE">
      <w:numFmt w:val="decimal"/>
      <w:lvlText w:val=""/>
      <w:lvlJc w:val="left"/>
    </w:lvl>
    <w:lvl w:ilvl="7" w:tplc="8DD4797E">
      <w:numFmt w:val="decimal"/>
      <w:lvlText w:val=""/>
      <w:lvlJc w:val="left"/>
    </w:lvl>
    <w:lvl w:ilvl="8" w:tplc="5F36FF02">
      <w:numFmt w:val="decimal"/>
      <w:lvlText w:val=""/>
      <w:lvlJc w:val="left"/>
    </w:lvl>
  </w:abstractNum>
  <w:abstractNum w:abstractNumId="3" w15:restartNumberingAfterBreak="0">
    <w:nsid w:val="415F14A5"/>
    <w:multiLevelType w:val="hybridMultilevel"/>
    <w:tmpl w:val="89ECA2DE"/>
    <w:lvl w:ilvl="0" w:tplc="FFFFFFFF">
      <w:start w:val="1"/>
      <w:numFmt w:val="decimal"/>
      <w:lvlText w:val="%1."/>
      <w:lvlJc w:val="left"/>
      <w:pPr>
        <w:ind w:left="360" w:hanging="360"/>
      </w:pPr>
      <w:rPr>
        <w:rFonts w:hint="default"/>
        <w:sz w:val="20"/>
        <w:szCs w:val="20"/>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A9207BD"/>
    <w:multiLevelType w:val="hybridMultilevel"/>
    <w:tmpl w:val="0B0E98EA"/>
    <w:lvl w:ilvl="0" w:tplc="D0E680FE">
      <w:start w:val="1"/>
      <w:numFmt w:val="decimal"/>
      <w:lvlText w:val="%1."/>
      <w:lvlJc w:val="left"/>
      <w:pPr>
        <w:ind w:left="360" w:hanging="360"/>
      </w:pPr>
    </w:lvl>
    <w:lvl w:ilvl="1" w:tplc="EEE2F19A">
      <w:numFmt w:val="decimal"/>
      <w:lvlText w:val=""/>
      <w:lvlJc w:val="left"/>
    </w:lvl>
    <w:lvl w:ilvl="2" w:tplc="53CAEFE2">
      <w:numFmt w:val="decimal"/>
      <w:lvlText w:val=""/>
      <w:lvlJc w:val="left"/>
    </w:lvl>
    <w:lvl w:ilvl="3" w:tplc="3FCAA62A">
      <w:numFmt w:val="decimal"/>
      <w:lvlText w:val=""/>
      <w:lvlJc w:val="left"/>
    </w:lvl>
    <w:lvl w:ilvl="4" w:tplc="3432D882">
      <w:numFmt w:val="decimal"/>
      <w:lvlText w:val=""/>
      <w:lvlJc w:val="left"/>
    </w:lvl>
    <w:lvl w:ilvl="5" w:tplc="6C2896FC">
      <w:numFmt w:val="decimal"/>
      <w:lvlText w:val=""/>
      <w:lvlJc w:val="left"/>
    </w:lvl>
    <w:lvl w:ilvl="6" w:tplc="E7BCA7F2">
      <w:numFmt w:val="decimal"/>
      <w:lvlText w:val=""/>
      <w:lvlJc w:val="left"/>
    </w:lvl>
    <w:lvl w:ilvl="7" w:tplc="8C481622">
      <w:numFmt w:val="decimal"/>
      <w:lvlText w:val=""/>
      <w:lvlJc w:val="left"/>
    </w:lvl>
    <w:lvl w:ilvl="8" w:tplc="67AC9D74">
      <w:numFmt w:val="decimal"/>
      <w:lvlText w:val=""/>
      <w:lvlJc w:val="left"/>
    </w:lvl>
  </w:abstractNum>
  <w:abstractNum w:abstractNumId="5" w15:restartNumberingAfterBreak="0">
    <w:nsid w:val="4CA52B1A"/>
    <w:multiLevelType w:val="hybridMultilevel"/>
    <w:tmpl w:val="8FC29C96"/>
    <w:lvl w:ilvl="0" w:tplc="D6A4EC0E">
      <w:start w:val="1"/>
      <w:numFmt w:val="bullet"/>
      <w:lvlText w:val="●"/>
      <w:lvlJc w:val="left"/>
      <w:pPr>
        <w:ind w:left="720" w:hanging="360"/>
      </w:pPr>
    </w:lvl>
    <w:lvl w:ilvl="1" w:tplc="60089510">
      <w:start w:val="1"/>
      <w:numFmt w:val="bullet"/>
      <w:lvlText w:val="○"/>
      <w:lvlJc w:val="left"/>
      <w:pPr>
        <w:ind w:left="1440" w:hanging="360"/>
      </w:pPr>
    </w:lvl>
    <w:lvl w:ilvl="2" w:tplc="EA6842E0">
      <w:start w:val="1"/>
      <w:numFmt w:val="bullet"/>
      <w:lvlText w:val="■"/>
      <w:lvlJc w:val="left"/>
      <w:pPr>
        <w:ind w:left="2160" w:hanging="360"/>
      </w:pPr>
    </w:lvl>
    <w:lvl w:ilvl="3" w:tplc="F236836E">
      <w:start w:val="1"/>
      <w:numFmt w:val="bullet"/>
      <w:lvlText w:val="●"/>
      <w:lvlJc w:val="left"/>
      <w:pPr>
        <w:ind w:left="2880" w:hanging="360"/>
      </w:pPr>
    </w:lvl>
    <w:lvl w:ilvl="4" w:tplc="8E2CA26A">
      <w:start w:val="1"/>
      <w:numFmt w:val="bullet"/>
      <w:lvlText w:val="○"/>
      <w:lvlJc w:val="left"/>
      <w:pPr>
        <w:ind w:left="3600" w:hanging="360"/>
      </w:pPr>
    </w:lvl>
    <w:lvl w:ilvl="5" w:tplc="69FC701A">
      <w:start w:val="1"/>
      <w:numFmt w:val="bullet"/>
      <w:lvlText w:val="■"/>
      <w:lvlJc w:val="left"/>
      <w:pPr>
        <w:ind w:left="4320" w:hanging="360"/>
      </w:pPr>
    </w:lvl>
    <w:lvl w:ilvl="6" w:tplc="0A9C795E">
      <w:start w:val="1"/>
      <w:numFmt w:val="bullet"/>
      <w:lvlText w:val="●"/>
      <w:lvlJc w:val="left"/>
      <w:pPr>
        <w:ind w:left="5040" w:hanging="360"/>
      </w:pPr>
    </w:lvl>
    <w:lvl w:ilvl="7" w:tplc="88408A9C">
      <w:start w:val="1"/>
      <w:numFmt w:val="bullet"/>
      <w:lvlText w:val="●"/>
      <w:lvlJc w:val="left"/>
      <w:pPr>
        <w:ind w:left="5760" w:hanging="360"/>
      </w:pPr>
    </w:lvl>
    <w:lvl w:ilvl="8" w:tplc="E6C23010">
      <w:start w:val="1"/>
      <w:numFmt w:val="bullet"/>
      <w:lvlText w:val="●"/>
      <w:lvlJc w:val="left"/>
      <w:pPr>
        <w:ind w:left="6480" w:hanging="360"/>
      </w:pPr>
    </w:lvl>
  </w:abstractNum>
  <w:abstractNum w:abstractNumId="6" w15:restartNumberingAfterBreak="0">
    <w:nsid w:val="6B0A1D48"/>
    <w:multiLevelType w:val="hybridMultilevel"/>
    <w:tmpl w:val="0C708D96"/>
    <w:lvl w:ilvl="0" w:tplc="3860078A">
      <w:start w:val="1"/>
      <w:numFmt w:val="decimal"/>
      <w:lvlText w:val="%1."/>
      <w:lvlJc w:val="left"/>
      <w:pPr>
        <w:ind w:left="360" w:hanging="360"/>
      </w:pPr>
    </w:lvl>
    <w:lvl w:ilvl="1" w:tplc="7C28A242">
      <w:numFmt w:val="decimal"/>
      <w:lvlText w:val=""/>
      <w:lvlJc w:val="left"/>
    </w:lvl>
    <w:lvl w:ilvl="2" w:tplc="5D3643A0">
      <w:numFmt w:val="decimal"/>
      <w:lvlText w:val=""/>
      <w:lvlJc w:val="left"/>
    </w:lvl>
    <w:lvl w:ilvl="3" w:tplc="A4A8480A">
      <w:numFmt w:val="decimal"/>
      <w:lvlText w:val=""/>
      <w:lvlJc w:val="left"/>
    </w:lvl>
    <w:lvl w:ilvl="4" w:tplc="3B34BAFE">
      <w:numFmt w:val="decimal"/>
      <w:lvlText w:val=""/>
      <w:lvlJc w:val="left"/>
    </w:lvl>
    <w:lvl w:ilvl="5" w:tplc="2E1EA4D6">
      <w:numFmt w:val="decimal"/>
      <w:lvlText w:val=""/>
      <w:lvlJc w:val="left"/>
    </w:lvl>
    <w:lvl w:ilvl="6" w:tplc="3CC0DC24">
      <w:numFmt w:val="decimal"/>
      <w:lvlText w:val=""/>
      <w:lvlJc w:val="left"/>
    </w:lvl>
    <w:lvl w:ilvl="7" w:tplc="F3607146">
      <w:numFmt w:val="decimal"/>
      <w:lvlText w:val=""/>
      <w:lvlJc w:val="left"/>
    </w:lvl>
    <w:lvl w:ilvl="8" w:tplc="2324A554">
      <w:numFmt w:val="decimal"/>
      <w:lvlText w:val=""/>
      <w:lvlJc w:val="left"/>
    </w:lvl>
  </w:abstractNum>
  <w:abstractNum w:abstractNumId="7" w15:restartNumberingAfterBreak="0">
    <w:nsid w:val="75870226"/>
    <w:multiLevelType w:val="hybridMultilevel"/>
    <w:tmpl w:val="3C90E428"/>
    <w:lvl w:ilvl="0" w:tplc="81144B0C">
      <w:start w:val="1"/>
      <w:numFmt w:val="decimal"/>
      <w:lvlText w:val="%1."/>
      <w:lvlJc w:val="left"/>
      <w:pPr>
        <w:ind w:left="360" w:hanging="360"/>
      </w:pPr>
    </w:lvl>
    <w:lvl w:ilvl="1" w:tplc="6B1EC078">
      <w:numFmt w:val="decimal"/>
      <w:lvlText w:val=""/>
      <w:lvlJc w:val="left"/>
    </w:lvl>
    <w:lvl w:ilvl="2" w:tplc="5016D526">
      <w:numFmt w:val="decimal"/>
      <w:lvlText w:val=""/>
      <w:lvlJc w:val="left"/>
    </w:lvl>
    <w:lvl w:ilvl="3" w:tplc="95EC0E04">
      <w:numFmt w:val="decimal"/>
      <w:lvlText w:val=""/>
      <w:lvlJc w:val="left"/>
    </w:lvl>
    <w:lvl w:ilvl="4" w:tplc="2848DE92">
      <w:numFmt w:val="decimal"/>
      <w:lvlText w:val=""/>
      <w:lvlJc w:val="left"/>
    </w:lvl>
    <w:lvl w:ilvl="5" w:tplc="48C63DDA">
      <w:numFmt w:val="decimal"/>
      <w:lvlText w:val=""/>
      <w:lvlJc w:val="left"/>
    </w:lvl>
    <w:lvl w:ilvl="6" w:tplc="25C07D98">
      <w:numFmt w:val="decimal"/>
      <w:lvlText w:val=""/>
      <w:lvlJc w:val="left"/>
    </w:lvl>
    <w:lvl w:ilvl="7" w:tplc="D69843D0">
      <w:numFmt w:val="decimal"/>
      <w:lvlText w:val=""/>
      <w:lvlJc w:val="left"/>
    </w:lvl>
    <w:lvl w:ilvl="8" w:tplc="D67AA252">
      <w:numFmt w:val="decimal"/>
      <w:lvlText w:val=""/>
      <w:lvlJc w:val="left"/>
    </w:lvl>
  </w:abstractNum>
  <w:num w:numId="1" w16cid:durableId="806313123">
    <w:abstractNumId w:val="5"/>
    <w:lvlOverride w:ilvl="0">
      <w:startOverride w:val="1"/>
    </w:lvlOverride>
  </w:num>
  <w:num w:numId="2" w16cid:durableId="1788113126">
    <w:abstractNumId w:val="4"/>
    <w:lvlOverride w:ilvl="0">
      <w:startOverride w:val="1"/>
    </w:lvlOverride>
  </w:num>
  <w:num w:numId="3" w16cid:durableId="1621640931">
    <w:abstractNumId w:val="6"/>
    <w:lvlOverride w:ilvl="0">
      <w:startOverride w:val="1"/>
    </w:lvlOverride>
  </w:num>
  <w:num w:numId="4" w16cid:durableId="200434217">
    <w:abstractNumId w:val="7"/>
    <w:lvlOverride w:ilvl="0">
      <w:startOverride w:val="1"/>
    </w:lvlOverride>
  </w:num>
  <w:num w:numId="5" w16cid:durableId="1183400597">
    <w:abstractNumId w:val="2"/>
    <w:lvlOverride w:ilvl="0">
      <w:startOverride w:val="1"/>
    </w:lvlOverride>
  </w:num>
  <w:num w:numId="6" w16cid:durableId="1581524156">
    <w:abstractNumId w:val="1"/>
    <w:lvlOverride w:ilvl="0">
      <w:startOverride w:val="1"/>
    </w:lvlOverride>
  </w:num>
  <w:num w:numId="7" w16cid:durableId="1581524157">
    <w:abstractNumId w:val="2"/>
    <w:lvlOverride w:ilvl="0">
      <w:startOverride w:val="1"/>
    </w:lvlOverride>
  </w:num>
  <w:num w:numId="8" w16cid:durableId="533932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3A"/>
    <w:rsid w:val="000063B2"/>
    <w:rsid w:val="00152766"/>
    <w:rsid w:val="001679F5"/>
    <w:rsid w:val="0021108D"/>
    <w:rsid w:val="002C2F52"/>
    <w:rsid w:val="0030252E"/>
    <w:rsid w:val="00325746"/>
    <w:rsid w:val="003411C0"/>
    <w:rsid w:val="00406FC3"/>
    <w:rsid w:val="00445B3A"/>
    <w:rsid w:val="00485ACE"/>
    <w:rsid w:val="004C3E53"/>
    <w:rsid w:val="00610914"/>
    <w:rsid w:val="006E6C34"/>
    <w:rsid w:val="00764A09"/>
    <w:rsid w:val="00791E87"/>
    <w:rsid w:val="007D7897"/>
    <w:rsid w:val="008048DB"/>
    <w:rsid w:val="008F63A5"/>
    <w:rsid w:val="00900F0B"/>
    <w:rsid w:val="00923BC3"/>
    <w:rsid w:val="00A33AEB"/>
    <w:rsid w:val="00A64C48"/>
    <w:rsid w:val="00A7342A"/>
    <w:rsid w:val="00B048EC"/>
    <w:rsid w:val="00D44E9A"/>
    <w:rsid w:val="00E629BB"/>
    <w:rsid w:val="00FF2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652835"/>
  <w15:docId w15:val="{0F13B31D-797F-AD41-A1E7-458C2A0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 w:space="0" w:color="2C3E50"/>
      </w:pBdr>
      <w:spacing w:before="360" w:after="120"/>
      <w:outlineLvl w:val="0"/>
    </w:pPr>
    <w:rPr>
      <w:b/>
      <w:bCs/>
      <w:caps/>
      <w:color w:val="2C3E50"/>
      <w:sz w:val="26"/>
      <w:szCs w:val="26"/>
    </w:rPr>
  </w:style>
  <w:style w:type="paragraph" w:styleId="Heading2">
    <w:name w:val="heading 2"/>
    <w:uiPriority w:val="9"/>
    <w:unhideWhenUsed/>
    <w:qFormat/>
    <w:pPr>
      <w:spacing w:before="240" w:after="100"/>
      <w:outlineLvl w:val="1"/>
    </w:pPr>
    <w:rPr>
      <w:b/>
      <w:bCs/>
      <w:color w:val="34495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4745-9068" TargetMode="External"/><Relationship Id="rId3" Type="http://schemas.openxmlformats.org/officeDocument/2006/relationships/settings" Target="settings.xml"/><Relationship Id="rId7" Type="http://schemas.openxmlformats.org/officeDocument/2006/relationships/hyperlink" Target="https://www.yifatar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2109</Words>
  <Characters>10967</Characters>
  <Application>Microsoft Office Word</Application>
  <DocSecurity>0</DocSecurity>
  <Lines>176</Lines>
  <Paragraphs>53</Paragraphs>
  <ScaleCrop>false</ScaleCrop>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יפעת ארן</cp:lastModifiedBy>
  <cp:revision>3</cp:revision>
  <cp:lastPrinted>2026-02-16T10:39:00Z</cp:lastPrinted>
  <dcterms:created xsi:type="dcterms:W3CDTF">2026-02-16T10:39:00Z</dcterms:created>
  <dcterms:modified xsi:type="dcterms:W3CDTF">2026-02-16T10:39:00Z</dcterms:modified>
</cp:coreProperties>
</file>