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083EC438" w14:textId="77777777" w:rsidR="00445B3A" w:rsidRPr="00485ACE" w:rsidRDefault="00445B3A">
      <w:pPr>
        <w:pBdr>
          <w:bottom w:val="single" w:sz="2" w:space="0" w:color="2C3E50"/>
        </w:pBdr>
        <w:spacing w:before="60" w:after="60"/>
        <w:rPr>
          <w:rFonts w:ascii="Garamond" w:hAnsi="Garamond"/>
          <w:color w:val="000000" w:themeColor="text1"/>
        </w:rPr>
      </w:pPr>
    </w:p>
    <w:p w14:paraId="6AFA54BC" w14:textId="77777777" w:rsidR="00445B3A" w:rsidRPr="00485ACE" w:rsidRDefault="00000000">
      <w:pPr>
        <w:pStyle w:val="Heading1"/>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 xml:space="preserve">Professor </w:t>
      </w:r>
      <w:r w:rsidRPr="00764A09">
        <w:rPr>
          <w:rFonts w:ascii="Garamond" w:hAnsi="Garamond"/>
          <w:color w:val="000000" w:themeColor="text1"/>
        </w:rPr>
        <w:t>(non-tenure-track)</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Faculty of Law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poorly understood.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102–199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3E3089E9" w14:textId="4D899CB6" w:rsidR="00747E97" w:rsidRPr="00747E97" w:rsidRDefault="00747E97" w:rsidP="00747E97">
      <w:pPr>
        <w:pStyle w:val="ListParagraph"/>
        <w:numPr>
          <w:ilvl w:val="0"/>
          <w:numId w:val="2"/>
        </w:numPr>
        <w:spacing w:after="160" w:line="259" w:lineRule="auto"/>
        <w:rPr>
          <w:rFonts w:ascii="Garamond" w:eastAsiaTheme="majorEastAsia" w:hAnsi="Garamond" w:cstheme="majorBidi"/>
        </w:rPr>
      </w:pPr>
      <w:r w:rsidRPr="00747E97">
        <w:rPr>
          <w:rFonts w:ascii="Garamond" w:eastAsiaTheme="majorEastAsia" w:hAnsi="Garamond" w:cstheme="majorBidi"/>
          <w:b/>
          <w:bCs/>
        </w:rPr>
        <w:lastRenderedPageBreak/>
        <w:t>Yifat Aran</w:t>
      </w:r>
      <w:r w:rsidRPr="00747E97">
        <w:rPr>
          <w:rFonts w:ascii="Garamond" w:eastAsiaTheme="majorEastAsia" w:hAnsi="Garamond" w:cstheme="majorBidi"/>
        </w:rPr>
        <w:t xml:space="preserve"> &amp; Raviv </w:t>
      </w:r>
      <w:r w:rsidRPr="00747E97">
        <w:rPr>
          <w:rFonts w:ascii="Garamond" w:hAnsi="Garamond" w:cstheme="majorBidi"/>
        </w:rPr>
        <w:t xml:space="preserve">Murciano-Goroff, </w:t>
      </w:r>
      <w:r w:rsidRPr="00747E97">
        <w:rPr>
          <w:rFonts w:ascii="Garamond" w:hAnsi="Garamond" w:cstheme="majorBidi"/>
          <w:i/>
          <w:iCs/>
        </w:rPr>
        <w:t>When It Comes to Compensation, More Equity Isn’t Always Better</w:t>
      </w:r>
      <w:r w:rsidRPr="00747E97">
        <w:rPr>
          <w:rFonts w:ascii="Garamond" w:hAnsi="Garamond" w:cstheme="majorBidi"/>
        </w:rPr>
        <w:t xml:space="preserve">, </w:t>
      </w:r>
      <w:r w:rsidRPr="00747E97">
        <w:rPr>
          <w:rFonts w:ascii="Garamond" w:hAnsi="Garamond" w:cstheme="majorBidi"/>
          <w:smallCaps/>
        </w:rPr>
        <w:t>Harvard Business Review</w:t>
      </w:r>
      <w:r w:rsidRPr="00747E97">
        <w:rPr>
          <w:rFonts w:ascii="Garamond" w:hAnsi="Garamond" w:cstheme="majorBidi"/>
        </w:rPr>
        <w:t xml:space="preserve"> (September 12,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24(2)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2026</w:t>
      </w:r>
      <w:r w:rsidRPr="0029729F">
        <w:rPr>
          <w:rFonts w:ascii="Garamond" w:hAnsi="Garamond"/>
          <w:color w:val="000000" w:themeColor="text1"/>
        </w:rPr>
        <w:t xml:space="preserve">). </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B848C57" w14:textId="77777777" w:rsidR="00445B3A" w:rsidRPr="00485ACE" w:rsidRDefault="00000000">
      <w:pPr>
        <w:pStyle w:val="Heading2"/>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Specialized Court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04527037" w14:textId="77777777" w:rsidR="00445B3A" w:rsidRPr="00485ACE" w:rsidRDefault="00000000">
      <w:pPr>
        <w:pStyle w:val="Heading2"/>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to Look Beyond Taxation</w:t>
      </w:r>
      <w:r>
        <w:rPr>
          <w:rFonts w:ascii="Garamond" w:hAnsi="Garamond"/>
          <w:color w:val="000000" w:themeColor="text1"/>
        </w:rPr>
        <w:t>, Oxford Business Law Blog (January 2026).</w:t>
      </w:r>
    </w:p>
    <w:p w14:paraId="2E667A14" w14:textId="77777777" w:rsidR="00445B3A" w:rsidRPr="00485ACE" w:rsidRDefault="00000000">
      <w:pPr>
        <w:pStyle w:val="Heading2"/>
        <w:rPr>
          <w:rFonts w:ascii="Garamond" w:hAnsi="Garamond"/>
          <w:color w:val="000000" w:themeColor="text1"/>
        </w:rPr>
      </w:pPr>
      <w:r>
        <w:rPr>
          <w:rFonts w:ascii="Garamond" w:hAnsi="Garamond"/>
          <w:color w:val="000000" w:themeColor="text1"/>
        </w:rPr>
        <w:t>Under Review / Revise &amp; Resubmit</w:t>
      </w:r>
    </w:p>
    <w:p w14:paraId="2C6618C0" w14:textId="208CC5E9" w:rsidR="00445B3A" w:rsidRDefault="00000000">
      <w:pPr>
        <w:pStyle w:val="ListParagraph"/>
        <w:numPr>
          <w:ilvl w:val="0"/>
          <w:numId w:val="5"/>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 Class Firms</w:t>
      </w:r>
      <w:r>
        <w:rPr>
          <w:rFonts w:ascii="Garamond" w:hAnsi="Garamond"/>
          <w:color w:val="000000" w:themeColor="text1"/>
        </w:rPr>
        <w:t xml:space="preserve"> (R&amp;R, </w:t>
      </w:r>
      <w:r>
        <w:rPr>
          <w:rFonts w:ascii="Garamond" w:hAnsi="Garamond"/>
          <w:smallCaps/>
          <w:color w:val="000000" w:themeColor="text1"/>
        </w:rPr>
        <w:t>The Journal of Legal Studies</w:t>
      </w:r>
      <w:r>
        <w:rPr>
          <w:rFonts w:ascii="Garamond" w:hAnsi="Garamond"/>
          <w:color w:val="000000" w:themeColor="text1"/>
        </w:rPr>
        <w:t>).</w:t>
      </w:r>
      <w:r w:rsidR="00863AEC">
        <w:rPr>
          <w:rFonts w:ascii="Garamond" w:hAnsi="Garamond"/>
          <w:color w:val="000000" w:themeColor="text1"/>
        </w:rPr>
        <w:br/>
      </w:r>
      <w:r w:rsidR="00863AEC">
        <w:rPr>
          <w:rFonts w:ascii="Garamond" w:hAnsi="Garamond"/>
          <w:color w:val="000000" w:themeColor="text1"/>
        </w:rPr>
        <w:br/>
      </w:r>
      <w:r w:rsidR="00863AEC">
        <w:rPr>
          <w:rFonts w:ascii="Garamond" w:hAnsi="Garamond"/>
          <w:color w:val="000000" w:themeColor="text1"/>
        </w:rPr>
        <w:br/>
      </w:r>
    </w:p>
    <w:p w14:paraId="65A7B862" w14:textId="2383B30C"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 Fellow, 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Fellowship, 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rPr>
          <w:rFonts w:ascii="Garamond" w:hAnsi="Garamond"/>
          <w:color w:val="000000" w:themeColor="text1"/>
        </w:rPr>
      </w:pPr>
      <w:r>
        <w:rPr>
          <w:rFonts w:ascii="Garamond" w:hAnsi="Garamond"/>
          <w:color w:val="000000" w:themeColor="text1"/>
        </w:rPr>
        <w:t>RESEARCH GRANTS</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Israeli Science Foundation (ISF). ₪561,000.</w:t>
      </w:r>
    </w:p>
    <w:p w14:paraId="73F64597"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 xml:space="preserve">Co-PI. </w:t>
      </w:r>
      <w:r>
        <w:rPr>
          <w:rFonts w:ascii="Garamond" w:hAnsi="Garamond"/>
          <w:i/>
          <w:iCs/>
          <w:color w:val="000000" w:themeColor="text1"/>
        </w:rPr>
        <w:t>Secondary Sales of Startup Employee Stock in the US and Israel (with Brian Broughman)</w:t>
      </w:r>
      <w:r>
        <w:rPr>
          <w:rFonts w:ascii="Garamond" w:hAnsi="Garamond"/>
          <w:color w:val="000000" w:themeColor="text1"/>
        </w:rPr>
        <w:t>. Vanderbilt University. $10,000.</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1698D934" w14:textId="77777777" w:rsidR="00445B3A" w:rsidRPr="00485ACE" w:rsidRDefault="00000000">
      <w:pPr>
        <w:pStyle w:val="Heading2"/>
        <w:rPr>
          <w:rFonts w:ascii="Garamond" w:hAnsi="Garamond"/>
          <w:color w:val="000000" w:themeColor="text1"/>
        </w:rPr>
      </w:pPr>
      <w:r>
        <w:rPr>
          <w:rFonts w:ascii="Garamond" w:hAnsi="Garamond"/>
          <w:color w:val="000000" w:themeColor="text1"/>
        </w:rPr>
        <w:t>Pending</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ISF.</w:t>
      </w:r>
    </w:p>
    <w:p w14:paraId="79FF28BD" w14:textId="77777777" w:rsidR="00445B3A" w:rsidRPr="00485ACE" w:rsidRDefault="00000000">
      <w:pPr>
        <w:pStyle w:val="Heading1"/>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2022–2023</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2023–2024</w:t>
      </w:r>
      <w:r>
        <w:rPr>
          <w:rFonts w:ascii="Garamond" w:hAnsi="Garamond"/>
          <w:color w:val="000000" w:themeColor="text1"/>
        </w:rPr>
        <w:tab/>
      </w:r>
    </w:p>
    <w:p w14:paraId="4EC21481" w14:textId="77777777" w:rsidR="006E0A43" w:rsidRDefault="006E0A43">
      <w:pPr>
        <w:pStyle w:val="Heading1"/>
        <w:rPr>
          <w:rFonts w:ascii="Garamond" w:hAnsi="Garamond"/>
          <w:color w:val="000000" w:themeColor="text1"/>
        </w:rPr>
      </w:pPr>
    </w:p>
    <w:p w14:paraId="08ED37DB" w14:textId="542FF475"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rPr>
          <w:rFonts w:ascii="Garamond" w:hAnsi="Garamond"/>
          <w:color w:val="000000" w:themeColor="text1"/>
        </w:rPr>
      </w:pPr>
      <w:r>
        <w:rPr>
          <w:rFonts w:ascii="Garamond" w:hAnsi="Garamond"/>
          <w:color w:val="000000" w:themeColor="text1"/>
        </w:rPr>
        <w:t>Invited Scholarly Lectures</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32C0F48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Israel and the Regional Economy, Harvard Business School (invited plenary speaker)</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D7EB849" w14:textId="77777777" w:rsidR="00445B3A" w:rsidRPr="00485ACE" w:rsidRDefault="00000000">
      <w:pPr>
        <w:pStyle w:val="Heading2"/>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LEA Retreat, Vanderbilt University</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LEA Retreat, University of Pennsylvania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rPr>
          <w:rFonts w:ascii="Garamond" w:hAnsi="Garamond"/>
          <w:color w:val="000000" w:themeColor="text1"/>
        </w:rPr>
      </w:pPr>
      <w:r>
        <w:rPr>
          <w:rFonts w:ascii="Garamond" w:hAnsi="Garamond"/>
          <w:color w:val="000000" w:themeColor="text1"/>
        </w:rPr>
        <w:t>Selected Seminar &amp; Colloquium Talks</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Reichman University</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487EAD4D" w14:textId="77777777" w:rsidR="006E0A43" w:rsidRDefault="006E0A43">
      <w:pPr>
        <w:pStyle w:val="Heading1"/>
        <w:rPr>
          <w:rFonts w:ascii="Garamond" w:hAnsi="Garamond"/>
          <w:color w:val="000000" w:themeColor="text1"/>
        </w:rPr>
      </w:pPr>
    </w:p>
    <w:p w14:paraId="6C2B07DE" w14:textId="06997734"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0FBBF30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the Study of Employee Ownership and Profit Sharing, Rutgers University</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p w14:paraId="7A2DDE8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Matthew Edward Chippin, Post-Doctoral Fellow (co-supervised with Omer Kimchi): Comparative Distressed Financing Law</w:t>
      </w:r>
    </w:p>
    <w:p w14:paraId="52B4358C" w14:textId="081B689D" w:rsidR="00445B3A" w:rsidRPr="00485ACE" w:rsidRDefault="00445B3A">
      <w:pPr>
        <w:spacing w:after="20"/>
        <w:jc w:val="center"/>
        <w:rPr>
          <w:rFonts w:ascii="Garamond" w:hAnsi="Garamond"/>
          <w:color w:val="000000" w:themeColor="text1"/>
        </w:rPr>
      </w:pP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