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1996" w14:textId="77777777" w:rsidR="00445B3A" w:rsidRPr="00485ACE" w:rsidRDefault="00000000">
      <w:pPr>
        <w:spacing w:after="40"/>
        <w:jc w:val="center"/>
        <w:rPr>
          <w:rFonts w:ascii="Garamond" w:hAnsi="Garamond"/>
          <w:color w:val="000000" w:themeColor="text1"/>
        </w:rPr>
      </w:pPr>
      <w:r>
        <w:rPr>
          <w:rFonts w:ascii="Garamond" w:hAnsi="Garamond"/>
          <w:b/>
          <w:bCs/>
          <w:color w:val="000000" w:themeColor="text1"/>
          <w:sz w:val="40"/>
          <w:szCs w:val="40"/>
        </w:rPr>
        <w:t>YIFAT ARAN</w:t>
      </w:r>
    </w:p>
    <w:p w14:paraId="0CAD7BC4" w14:textId="467237B7" w:rsidR="00445B3A" w:rsidRPr="00485ACE" w:rsidRDefault="00791E87">
      <w:pPr>
        <w:spacing w:after="20"/>
        <w:jc w:val="center"/>
        <w:rPr>
          <w:rFonts w:ascii="Garamond" w:hAnsi="Garamond"/>
          <w:color w:val="000000" w:themeColor="text1"/>
        </w:rPr>
      </w:pPr>
      <w:r>
        <w:rPr>
          <w:rFonts w:ascii="Garamond" w:hAnsi="Garamond"/>
          <w:color w:val="000000" w:themeColor="text1"/>
        </w:rPr>
        <w:t>Assistant Professor, Faculty of Law, University of Haifa</w:t>
      </w:r>
    </w:p>
    <w:p w14:paraId="7671D3BC" w14:textId="77777777" w:rsidR="00445B3A" w:rsidRPr="00485ACE" w:rsidRDefault="00000000">
      <w:pPr>
        <w:spacing w:after="20"/>
        <w:jc w:val="center"/>
        <w:rPr>
          <w:rFonts w:ascii="Garamond" w:hAnsi="Garamond"/>
          <w:color w:val="000000" w:themeColor="text1"/>
        </w:rPr>
      </w:pPr>
      <w:r>
        <w:rPr>
          <w:rFonts w:ascii="Garamond" w:hAnsi="Garamond"/>
          <w:color w:val="000000" w:themeColor="text1"/>
          <w:sz w:val="20"/>
          <w:szCs w:val="20"/>
        </w:rPr>
        <w:t xml:space="preserve">aranyifat@law.haifa.ac.il  |  +972-528-357327  |  </w:t>
      </w:r>
      <w:hyperlink r:id="rId7" w:history="1">
        <w:r w:rsidR="00445B3A">
          <w:rPr>
            <w:rStyle w:val="Hyperlink"/>
            <w:rFonts w:ascii="Garamond" w:hAnsi="Garamond"/>
            <w:color w:val="000000" w:themeColor="text1"/>
            <w:sz w:val="20"/>
            <w:szCs w:val="20"/>
          </w:rPr>
          <w:t>www.yifataran.com</w:t>
        </w:r>
      </w:hyperlink>
    </w:p>
    <w:p w14:paraId="07D4C2B8" w14:textId="77777777" w:rsidR="00445B3A" w:rsidRPr="00485ACE" w:rsidRDefault="00000000">
      <w:pPr>
        <w:spacing w:after="20"/>
        <w:jc w:val="center"/>
        <w:rPr>
          <w:rFonts w:ascii="Garamond" w:hAnsi="Garamond"/>
          <w:color w:val="000000" w:themeColor="text1"/>
        </w:rPr>
      </w:pPr>
      <w:r>
        <w:rPr>
          <w:rFonts w:ascii="Garamond" w:hAnsi="Garamond"/>
          <w:color w:val="000000" w:themeColor="text1"/>
          <w:sz w:val="20"/>
          <w:szCs w:val="20"/>
        </w:rPr>
        <w:t xml:space="preserve">ORCID: </w:t>
      </w:r>
      <w:hyperlink r:id="rId8" w:history="1">
        <w:r w:rsidR="00445B3A">
          <w:rPr>
            <w:rStyle w:val="Hyperlink"/>
            <w:rFonts w:ascii="Garamond" w:hAnsi="Garamond"/>
            <w:color w:val="000000" w:themeColor="text1"/>
            <w:sz w:val="20"/>
            <w:szCs w:val="20"/>
          </w:rPr>
          <w:t>0000-0002-4745-9068</w:t>
        </w:r>
      </w:hyperlink>
    </w:p>
    <w:p w14:paraId="6AFA54BC"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EDUCATION</w:t>
      </w:r>
    </w:p>
    <w:p w14:paraId="2091999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JSD</w:t>
      </w:r>
      <w:r>
        <w:rPr>
          <w:rFonts w:ascii="Garamond" w:hAnsi="Garamond"/>
          <w:color w:val="000000" w:themeColor="text1"/>
        </w:rPr>
        <w:t>, Stanford University, Law School</w:t>
      </w:r>
      <w:r>
        <w:rPr>
          <w:rFonts w:ascii="Garamond" w:hAnsi="Garamond"/>
          <w:color w:val="000000" w:themeColor="text1"/>
        </w:rPr>
        <w:tab/>
        <w:t>2015–2020</w:t>
      </w:r>
    </w:p>
    <w:p w14:paraId="3C53C87D" w14:textId="77777777" w:rsidR="00445B3A" w:rsidRPr="00485ACE" w:rsidRDefault="00000000">
      <w:pPr>
        <w:spacing w:after="60"/>
        <w:ind w:left="360"/>
        <w:rPr>
          <w:rFonts w:ascii="Garamond" w:hAnsi="Garamond"/>
          <w:color w:val="000000" w:themeColor="text1"/>
        </w:rPr>
      </w:pPr>
      <w:r>
        <w:rPr>
          <w:rFonts w:ascii="Garamond" w:hAnsi="Garamond"/>
          <w:i/>
          <w:iCs/>
          <w:color w:val="000000" w:themeColor="text1"/>
        </w:rPr>
        <w:t xml:space="preserve">Dissertation: </w:t>
      </w:r>
      <w:r>
        <w:rPr>
          <w:rFonts w:ascii="Garamond" w:hAnsi="Garamond"/>
          <w:color w:val="000000" w:themeColor="text1"/>
        </w:rPr>
        <w:t>Securities Regulation Framework for Employee Equity-Based Compensation at Privately Held Firms (Supervisor: Joseph A. Grundfest)</w:t>
      </w:r>
    </w:p>
    <w:p w14:paraId="0CBD57D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JSM</w:t>
      </w:r>
      <w:r>
        <w:rPr>
          <w:rFonts w:ascii="Garamond" w:hAnsi="Garamond"/>
          <w:color w:val="000000" w:themeColor="text1"/>
        </w:rPr>
        <w:t>, Stanford University, Law School</w:t>
      </w:r>
      <w:r>
        <w:rPr>
          <w:rFonts w:ascii="Garamond" w:hAnsi="Garamond"/>
          <w:color w:val="000000" w:themeColor="text1"/>
        </w:rPr>
        <w:tab/>
        <w:t>2014–2015</w:t>
      </w:r>
    </w:p>
    <w:p w14:paraId="1B7E4D92" w14:textId="77777777" w:rsidR="00445B3A" w:rsidRPr="00485ACE" w:rsidRDefault="00000000">
      <w:pPr>
        <w:spacing w:after="60"/>
        <w:ind w:left="360"/>
        <w:rPr>
          <w:rFonts w:ascii="Garamond" w:hAnsi="Garamond"/>
          <w:color w:val="000000" w:themeColor="text1"/>
        </w:rPr>
      </w:pPr>
      <w:r>
        <w:rPr>
          <w:rFonts w:ascii="Garamond" w:hAnsi="Garamond"/>
          <w:i/>
          <w:iCs/>
          <w:color w:val="000000" w:themeColor="text1"/>
        </w:rPr>
        <w:t xml:space="preserve">Dissertation: </w:t>
      </w:r>
      <w:r>
        <w:rPr>
          <w:rFonts w:ascii="Garamond" w:hAnsi="Garamond"/>
          <w:color w:val="000000" w:themeColor="text1"/>
        </w:rPr>
        <w:t>From Delaware to Israel: Evaluating Israel’s Quasi Experiment of a Specialized Corporate Court (Supervisor: Deborah Hensler)</w:t>
      </w:r>
    </w:p>
    <w:p w14:paraId="56DEEEB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LLM</w:t>
      </w:r>
      <w:r>
        <w:rPr>
          <w:rFonts w:ascii="Garamond" w:hAnsi="Garamond"/>
          <w:color w:val="000000" w:themeColor="text1"/>
        </w:rPr>
        <w:t xml:space="preserve">, Hebrew University of Jerusalem, Faculty of Law, </w:t>
      </w:r>
      <w:r w:rsidRPr="00715D5C">
        <w:rPr>
          <w:rFonts w:ascii="Garamond" w:hAnsi="Garamond"/>
          <w:i/>
          <w:iCs/>
          <w:color w:val="000000" w:themeColor="text1"/>
        </w:rPr>
        <w:t>Magna Cum Laude</w:t>
      </w:r>
      <w:r>
        <w:rPr>
          <w:rFonts w:ascii="Garamond" w:hAnsi="Garamond"/>
          <w:color w:val="000000" w:themeColor="text1"/>
        </w:rPr>
        <w:tab/>
        <w:t>2011–2013</w:t>
      </w:r>
    </w:p>
    <w:p w14:paraId="417839F2"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LLB</w:t>
      </w:r>
      <w:r>
        <w:rPr>
          <w:rFonts w:ascii="Garamond" w:hAnsi="Garamond"/>
          <w:color w:val="000000" w:themeColor="text1"/>
        </w:rPr>
        <w:t xml:space="preserve">, Hebrew University of Jerusalem, Faculty of Law, </w:t>
      </w:r>
      <w:r w:rsidRPr="00715D5C">
        <w:rPr>
          <w:rFonts w:ascii="Garamond" w:hAnsi="Garamond"/>
          <w:i/>
          <w:iCs/>
          <w:color w:val="000000" w:themeColor="text1"/>
        </w:rPr>
        <w:t>Summa Cum Laude</w:t>
      </w:r>
      <w:r>
        <w:rPr>
          <w:rFonts w:ascii="Garamond" w:hAnsi="Garamond"/>
          <w:color w:val="000000" w:themeColor="text1"/>
        </w:rPr>
        <w:tab/>
        <w:t>2006–2010</w:t>
      </w:r>
    </w:p>
    <w:p w14:paraId="753F3980"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ACADEMIC POSITIONS</w:t>
      </w:r>
    </w:p>
    <w:p w14:paraId="472FFF80"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Visiting Scholar</w:t>
      </w:r>
      <w:r>
        <w:rPr>
          <w:rFonts w:ascii="Garamond" w:hAnsi="Garamond"/>
          <w:color w:val="000000" w:themeColor="text1"/>
        </w:rPr>
        <w:t>, Stanford University, Law School</w:t>
      </w:r>
      <w:r>
        <w:rPr>
          <w:rFonts w:ascii="Garamond" w:hAnsi="Garamond"/>
          <w:color w:val="000000" w:themeColor="text1"/>
        </w:rPr>
        <w:tab/>
        <w:t>2026–2027</w:t>
      </w:r>
    </w:p>
    <w:p w14:paraId="7DB33596" w14:textId="64695D80" w:rsidR="00445B3A" w:rsidRPr="00485ACE" w:rsidRDefault="00764A09">
      <w:pPr>
        <w:tabs>
          <w:tab w:val="right" w:pos="9026"/>
        </w:tabs>
        <w:spacing w:after="60"/>
        <w:rPr>
          <w:rFonts w:ascii="Garamond" w:hAnsi="Garamond"/>
          <w:color w:val="000000" w:themeColor="text1"/>
        </w:rPr>
      </w:pPr>
      <w:r w:rsidRPr="00764A09">
        <w:rPr>
          <w:rFonts w:ascii="Garamond" w:hAnsi="Garamond"/>
          <w:b/>
          <w:bCs/>
          <w:color w:val="000000" w:themeColor="text1"/>
        </w:rPr>
        <w:t>Lecturer</w:t>
      </w:r>
      <w:r w:rsidRPr="00764A09">
        <w:rPr>
          <w:rFonts w:ascii="Garamond" w:hAnsi="Garamond"/>
          <w:color w:val="000000" w:themeColor="text1"/>
        </w:rPr>
        <w:t>, MBA Program</w:t>
      </w:r>
      <w:r>
        <w:rPr>
          <w:rFonts w:ascii="Garamond" w:hAnsi="Garamond"/>
          <w:color w:val="000000" w:themeColor="text1"/>
        </w:rPr>
        <w:t>, Technion – Israel Institute of Technology, Faculty of Data and Decision Sciences</w:t>
      </w:r>
      <w:r>
        <w:rPr>
          <w:rFonts w:ascii="Garamond" w:hAnsi="Garamond"/>
          <w:color w:val="000000" w:themeColor="text1"/>
        </w:rPr>
        <w:tab/>
        <w:t>2022–present</w:t>
      </w:r>
    </w:p>
    <w:p w14:paraId="158DD864" w14:textId="6AD1928B" w:rsidR="00445B3A" w:rsidRPr="00485ACE" w:rsidRDefault="00764A09">
      <w:pPr>
        <w:tabs>
          <w:tab w:val="right" w:pos="9026"/>
        </w:tabs>
        <w:spacing w:after="60"/>
        <w:rPr>
          <w:rFonts w:ascii="Garamond" w:hAnsi="Garamond"/>
          <w:color w:val="000000" w:themeColor="text1"/>
        </w:rPr>
      </w:pPr>
      <w:r w:rsidRPr="00764A09">
        <w:rPr>
          <w:rFonts w:ascii="Garamond" w:hAnsi="Garamond"/>
          <w:b/>
          <w:bCs/>
          <w:color w:val="000000" w:themeColor="text1"/>
        </w:rPr>
        <w:t xml:space="preserve">Assistant </w:t>
      </w:r>
      <w:r>
        <w:rPr>
          <w:rFonts w:ascii="Garamond" w:hAnsi="Garamond"/>
          <w:b/>
          <w:bCs/>
          <w:color w:val="000000" w:themeColor="text1"/>
        </w:rPr>
        <w:t>Professor</w:t>
      </w:r>
      <w:r>
        <w:rPr>
          <w:rFonts w:ascii="Garamond" w:hAnsi="Garamond"/>
          <w:color w:val="000000" w:themeColor="text1"/>
        </w:rPr>
        <w:t>, University of Haifa, Faculty of Law</w:t>
      </w:r>
      <w:r>
        <w:rPr>
          <w:rFonts w:ascii="Garamond" w:hAnsi="Garamond"/>
          <w:color w:val="000000" w:themeColor="text1"/>
        </w:rPr>
        <w:tab/>
        <w:t>2021–present</w:t>
      </w:r>
    </w:p>
    <w:p w14:paraId="5F1BC3B6"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Postdoctoral Research Fellow</w:t>
      </w:r>
      <w:r>
        <w:rPr>
          <w:rFonts w:ascii="Garamond" w:hAnsi="Garamond"/>
          <w:color w:val="000000" w:themeColor="text1"/>
        </w:rPr>
        <w:t>, University of Haifa (Host: Prof. Tal Zarsky)</w:t>
      </w:r>
      <w:r>
        <w:rPr>
          <w:rFonts w:ascii="Garamond" w:hAnsi="Garamond"/>
          <w:color w:val="000000" w:themeColor="text1"/>
        </w:rPr>
        <w:tab/>
        <w:t>2020–2021</w:t>
      </w:r>
    </w:p>
    <w:p w14:paraId="472FFF7F"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Visiting Scholar</w:t>
      </w:r>
      <w:r>
        <w:rPr>
          <w:rFonts w:ascii="Garamond" w:hAnsi="Garamond"/>
          <w:color w:val="000000" w:themeColor="text1"/>
        </w:rPr>
        <w:t>, Technion – Israel Institute of Technology, Faculty of Industrial Engineering and Management</w:t>
      </w:r>
      <w:r>
        <w:rPr>
          <w:rFonts w:ascii="Garamond" w:hAnsi="Garamond"/>
          <w:color w:val="000000" w:themeColor="text1"/>
        </w:rPr>
        <w:tab/>
        <w:t>2020–2021</w:t>
      </w:r>
    </w:p>
    <w:p w14:paraId="4C267933"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PROFESSIONAL EXPERIENCE</w:t>
      </w:r>
    </w:p>
    <w:p w14:paraId="12022A24" w14:textId="77777777" w:rsidR="00180EAB" w:rsidRDefault="00000000">
      <w:pPr>
        <w:tabs>
          <w:tab w:val="right" w:pos="9026"/>
        </w:tabs>
        <w:spacing w:after="60"/>
        <w:rPr>
          <w:rFonts w:ascii="Garamond" w:hAnsi="Garamond"/>
          <w:color w:val="000000" w:themeColor="text1"/>
        </w:rPr>
      </w:pPr>
      <w:r>
        <w:rPr>
          <w:rFonts w:ascii="Garamond" w:hAnsi="Garamond"/>
          <w:color w:val="000000" w:themeColor="text1"/>
        </w:rPr>
        <w:t xml:space="preserve">Lawyer, Litigation Department, Abramson &amp; Co., Jerusalem</w:t>
      </w:r>
      <w:r>
        <w:rPr>
          <w:rFonts w:ascii="Garamond" w:hAnsi="Garamond"/>
          <w:color w:val="000000" w:themeColor="text1"/>
        </w:rPr>
        <w:tab/>
        <w:t>2012–2015</w:t>
      </w:r>
    </w:p>
    <w:p w14:paraId="739FBC44" w14:textId="77777777" w:rsidR="00445B3A" w:rsidRPr="00B06FEF" w:rsidRDefault="00000000">
      <w:pPr>
        <w:tabs>
          <w:tab w:val="right" w:pos="9026"/>
        </w:tabs>
        <w:spacing w:after="60"/>
        <w:rPr>
          <w:rFonts w:ascii="Garamond" w:hAnsi="Garamond"/>
          <w:color w:val="000000" w:themeColor="text1"/>
        </w:rPr>
      </w:pPr>
      <w:r>
        <w:rPr>
          <w:rFonts w:ascii="Garamond" w:hAnsi="Garamond"/>
          <w:color w:val="000000" w:themeColor="text1"/>
        </w:rPr>
        <w:t xml:space="preserve">Senior Law Clerk to Chief Justice Dr. Asher Grunis, Supreme Court of Israel</w:t>
      </w:r>
      <w:r>
        <w:rPr>
          <w:rFonts w:ascii="Garamond" w:hAnsi="Garamond"/>
          <w:color w:val="000000" w:themeColor="text1"/>
        </w:rPr>
        <w:tab/>
        <w:t>2012</w:t>
      </w:r>
    </w:p>
    <w:p w14:paraId="6F6FE6B4" w14:textId="77777777" w:rsidR="00640A7D" w:rsidRPr="00485ACE" w:rsidRDefault="00640A7D" w:rsidP="00640A7D">
      <w:pPr>
        <w:tabs>
          <w:tab w:val="right" w:pos="9026"/>
        </w:tabs>
        <w:spacing w:after="60"/>
        <w:rPr>
          <w:rFonts w:ascii="Garamond" w:hAnsi="Garamond"/>
          <w:color w:val="000000" w:themeColor="text1"/>
        </w:rPr>
      </w:pPr>
      <w:r>
        <w:rPr>
          <w:rFonts w:ascii="Garamond" w:hAnsi="Garamond"/>
          <w:color w:val="000000" w:themeColor="text1"/>
        </w:rPr>
        <w:t xml:space="preserve">Member, Israel Bar Association</w:t>
      </w:r>
      <w:r>
        <w:rPr>
          <w:rFonts w:ascii="Garamond" w:hAnsi="Garamond"/>
          <w:color w:val="000000" w:themeColor="text1"/>
        </w:rPr>
        <w:tab/>
        <w:t>2011–present</w:t>
      </w:r>
    </w:p>
    <w:p w14:paraId="7B046B92" w14:textId="77777777" w:rsidR="00445B3A" w:rsidRPr="00B06FEF" w:rsidRDefault="00000000">
      <w:pPr>
        <w:tabs>
          <w:tab w:val="right" w:pos="9026"/>
        </w:tabs>
        <w:spacing w:after="60"/>
        <w:rPr>
          <w:rFonts w:ascii="Garamond" w:hAnsi="Garamond"/>
          <w:color w:val="000000" w:themeColor="text1"/>
        </w:rPr>
      </w:pPr>
      <w:r>
        <w:rPr>
          <w:rFonts w:ascii="Garamond" w:hAnsi="Garamond"/>
          <w:color w:val="000000" w:themeColor="text1"/>
        </w:rPr>
        <w:t xml:space="preserve">Law Clerk to Chief Justice Dorit Beinisch, Supreme Court of Israel</w:t>
      </w:r>
      <w:r>
        <w:rPr>
          <w:rFonts w:ascii="Garamond" w:hAnsi="Garamond"/>
          <w:color w:val="000000" w:themeColor="text1"/>
        </w:rPr>
        <w:tab/>
        <w:t>2010–2011</w:t>
      </w:r>
    </w:p>
    <w:p w14:paraId="176997EF" w14:textId="04EB5C7E" w:rsidR="00445B3A" w:rsidRPr="00485ACE" w:rsidRDefault="00000000">
      <w:pPr>
        <w:pStyle w:val="Heading1"/>
        <w:keepNext/>
        <w:keepLines/>
        <w:rPr>
          <w:rFonts w:ascii="Garamond" w:hAnsi="Garamond"/>
          <w:color w:val="000000" w:themeColor="text1"/>
        </w:rPr>
      </w:pPr>
      <w:r>
        <w:rPr>
          <w:rFonts w:ascii="Garamond" w:hAnsi="Garamond"/>
          <w:color w:val="000000" w:themeColor="text1"/>
        </w:rPr>
        <w:t>RESEARCH PROFILE</w:t>
      </w:r>
    </w:p>
    <w:p w14:paraId="48F67BC6" w14:textId="5447FEDA" w:rsidR="00445B3A" w:rsidRPr="00485ACE" w:rsidRDefault="00000000" w:rsidP="00B06FEF">
      <w:pPr>
        <w:spacing w:after="100"/>
        <w:jc w:val="both"/>
        <w:rPr>
          <w:rFonts w:ascii="Garamond" w:hAnsi="Garamond"/>
          <w:color w:val="000000" w:themeColor="text1"/>
        </w:rPr>
      </w:pPr>
      <w:r>
        <w:rPr>
          <w:rFonts w:ascii="Garamond" w:hAnsi="Garamond"/>
          <w:color w:val="000000" w:themeColor="text1"/>
        </w:rPr>
        <w:t>Venture-backed startups account for roughly half of U.S. IPOs and drive a disproportionate share of innovation, job creation, and market disruption globally. Yet the legal and institutional frameworks governing these firms remain undertheorized. My scholarship addresses this gap by integrating doctrinal legal analysis, empirical methods, and insights from finance, behavioral economics, and organizational theory to show how law, business models, and market practices jointly shape firm formation, growth, governance, and the distribution of entrepreneurial wealth.</w:t>
      </w:r>
    </w:p>
    <w:p w14:paraId="32F72D80"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PUBLICATIONS</w:t>
      </w:r>
    </w:p>
    <w:p w14:paraId="4F9967C8"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Articles in Refereed Journals and Law Reviews</w:t>
      </w:r>
    </w:p>
    <w:p w14:paraId="1E5FA901" w14:textId="0C11C3E6" w:rsidR="006E6C34" w:rsidRPr="0029729F" w:rsidRDefault="006E6C34" w:rsidP="006E6C34">
      <w:pPr>
        <w:pStyle w:val="ListParagraph"/>
        <w:numPr>
          <w:ilvl w:val="0"/>
          <w:numId w:val="2"/>
        </w:numPr>
        <w:spacing w:after="120"/>
        <w:rPr>
          <w:rFonts w:ascii="Garamond" w:hAnsi="Garamond"/>
          <w:color w:val="000000" w:themeColor="text1"/>
        </w:rPr>
      </w:pPr>
      <w:r w:rsidRPr="0029729F">
        <w:rPr>
          <w:rFonts w:ascii="Garamond" w:hAnsi="Garamond"/>
          <w:b/>
          <w:bCs/>
          <w:color w:val="000000" w:themeColor="text1"/>
        </w:rPr>
        <w:t xml:space="preserve">Yifat Aran</w:t>
      </w:r>
      <w:r w:rsidRPr="0029729F">
        <w:rPr>
          <w:rFonts w:ascii="Garamond" w:hAnsi="Garamond"/>
          <w:color w:val="000000" w:themeColor="text1"/>
        </w:rPr>
        <w:t xml:space="preserve">, </w:t>
      </w:r>
      <w:r w:rsidRPr="0029729F">
        <w:rPr>
          <w:rFonts w:ascii="Garamond" w:hAnsi="Garamond"/>
          <w:i/>
          <w:iCs/>
          <w:color w:val="000000" w:themeColor="text1"/>
        </w:rPr>
        <w:t xml:space="preserve">The Optional Firm: The Silicon Valley Model of Startup Organization</w:t>
      </w:r>
      <w:r w:rsidRPr="0029729F">
        <w:rPr>
          <w:rFonts w:ascii="Garamond" w:hAnsi="Garamond"/>
          <w:color w:val="000000" w:themeColor="text1"/>
        </w:rPr>
        <w:t xml:space="preserve"> (forthcoming, </w:t>
      </w:r>
      <w:r w:rsidRPr="0029729F">
        <w:rPr>
          <w:rFonts w:ascii="Garamond" w:hAnsi="Garamond"/>
          <w:smallCaps/>
          <w:color w:val="000000" w:themeColor="text1"/>
        </w:rPr>
        <w:t xml:space="preserve">European Business Organization Law Review</w:t>
      </w:r>
      <w:r w:rsidRPr="0029729F">
        <w:rPr>
          <w:rFonts w:ascii="Garamond" w:hAnsi="Garamond"/>
          <w:color w:val="000000" w:themeColor="text1"/>
        </w:rPr>
        <w:t xml:space="preserve">).</w:t>
      </w:r>
    </w:p>
    <w:p w14:paraId="1E5FA900" w14:textId="0C11C3E5" w:rsidR="006E6C34" w:rsidRPr="006E6C34" w:rsidRDefault="006E6C34" w:rsidP="006E6C34">
      <w:pPr>
        <w:pStyle w:val="ListParagraph"/>
        <w:numPr>
          <w:ilvl w:val="0"/>
          <w:numId w:val="2"/>
        </w:numPr>
        <w:spacing w:after="120"/>
        <w:rPr>
          <w:rFonts w:ascii="Garamond" w:hAnsi="Garamond"/>
          <w:color w:val="000000" w:themeColor="text1"/>
        </w:rPr>
      </w:pPr>
      <w:r w:rsidRPr="0029729F">
        <w:rPr>
          <w:rFonts w:ascii="Garamond" w:hAnsi="Garamond"/>
          <w:b/>
          <w:bCs/>
          <w:color w:val="000000" w:themeColor="text1"/>
        </w:rPr>
        <w:t>Yifat Aran</w:t>
      </w:r>
      <w:r w:rsidRPr="006E6C34">
        <w:rPr>
          <w:rFonts w:ascii="Garamond" w:hAnsi="Garamond"/>
          <w:color w:val="000000" w:themeColor="text1"/>
        </w:rPr>
        <w:t xml:space="preserve">, Brian Broughman, and Elizabeth Pollman, </w:t>
      </w:r>
      <w:r w:rsidRPr="006E6C34">
        <w:rPr>
          <w:rFonts w:ascii="Garamond" w:hAnsi="Garamond"/>
          <w:i/>
          <w:iCs/>
          <w:color w:val="000000" w:themeColor="text1"/>
        </w:rPr>
        <w:t>Exit after Exit</w:t>
      </w:r>
      <w:r w:rsidRPr="006E6C34">
        <w:rPr>
          <w:rFonts w:ascii="Garamond" w:hAnsi="Garamond"/>
          <w:color w:val="000000" w:themeColor="text1"/>
        </w:rPr>
        <w:t xml:space="preserve"> (forthcoming, Harvard Business Law Review</w:t>
      </w:r>
      <w:r w:rsidR="001137F4">
        <w:rPr>
          <w:rFonts w:ascii="Garamond" w:hAnsi="Garamond"/>
          <w:color w:val="000000" w:themeColor="text1"/>
        </w:rPr>
        <w:t xml:space="preserve"> 2027</w:t>
      </w:r>
      <w:r w:rsidRPr="006E6C34">
        <w:rPr>
          <w:rFonts w:ascii="Garamond" w:hAnsi="Garamond"/>
          <w:color w:val="000000" w:themeColor="text1"/>
        </w:rPr>
        <w:t xml:space="preserve">). </w:t>
      </w:r>
    </w:p>
    <w:p w14:paraId="3A7B92F1" w14:textId="33C44D58" w:rsidR="006E6C34" w:rsidRDefault="006E6C34" w:rsidP="006E6C34">
      <w:pPr>
        <w:pStyle w:val="ListParagraph"/>
        <w:numPr>
          <w:ilvl w:val="0"/>
          <w:numId w:val="2"/>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Brian Broughman, and Elizabeth Pollman, </w:t>
      </w:r>
      <w:r>
        <w:rPr>
          <w:rFonts w:ascii="Garamond" w:hAnsi="Garamond"/>
          <w:i/>
          <w:iCs/>
          <w:color w:val="000000" w:themeColor="text1"/>
        </w:rPr>
        <w:t>CEO Turnover at Dual-Class Firms</w:t>
      </w:r>
      <w:r>
        <w:rPr>
          <w:rFonts w:ascii="Garamond" w:hAnsi="Garamond"/>
          <w:color w:val="000000" w:themeColor="text1"/>
        </w:rPr>
        <w:t xml:space="preserve"> (forthcoming, </w:t>
      </w:r>
      <w:r>
        <w:rPr>
          <w:rFonts w:ascii="Garamond" w:hAnsi="Garamond"/>
          <w:smallCaps/>
          <w:color w:val="000000" w:themeColor="text1"/>
        </w:rPr>
        <w:t>Journal of Legal Studies</w:t>
      </w:r>
      <w:r>
        <w:rPr>
          <w:rFonts w:ascii="Garamond" w:hAnsi="Garamond"/>
          <w:color w:val="000000" w:themeColor="text1"/>
        </w:rPr>
        <w:t xml:space="preserve"> 2026).</w:t>
      </w:r>
    </w:p>
    <w:p w14:paraId="51D60B83" w14:textId="77777777" w:rsidR="00445B3A" w:rsidRPr="0029729F" w:rsidRDefault="00000000">
      <w:pPr>
        <w:pStyle w:val="ListParagraph"/>
        <w:numPr>
          <w:ilvl w:val="0"/>
          <w:numId w:val="2"/>
        </w:numPr>
        <w:spacing w:after="120"/>
        <w:rPr>
          <w:rFonts w:ascii="Garamond" w:hAnsi="Garamond"/>
          <w:color w:val="000000" w:themeColor="text1"/>
        </w:rPr>
      </w:pPr>
      <w:r w:rsidRPr="0029729F">
        <w:rPr>
          <w:rFonts w:ascii="Garamond" w:hAnsi="Garamond"/>
          <w:color w:val="000000" w:themeColor="text1"/>
        </w:rPr>
        <w:t xml:space="preserve">Gad Weiss, Kobi Ben Chitrit, and </w:t>
      </w:r>
      <w:r w:rsidRPr="0029729F">
        <w:rPr>
          <w:rFonts w:ascii="Garamond" w:hAnsi="Garamond"/>
          <w:b/>
          <w:bCs/>
          <w:color w:val="000000" w:themeColor="text1"/>
        </w:rPr>
        <w:t>Yifat Aran</w:t>
      </w:r>
      <w:r w:rsidRPr="0029729F">
        <w:rPr>
          <w:rFonts w:ascii="Garamond" w:hAnsi="Garamond"/>
          <w:color w:val="000000" w:themeColor="text1"/>
        </w:rPr>
        <w:t xml:space="preserve">, </w:t>
      </w:r>
      <w:r w:rsidRPr="0029729F">
        <w:rPr>
          <w:rFonts w:ascii="Garamond" w:hAnsi="Garamond"/>
          <w:i/>
          <w:iCs/>
          <w:color w:val="000000" w:themeColor="text1"/>
        </w:rPr>
        <w:t>Let it Go: A Comparative Perspective on the Enforceability of Pay-to-Play Provisions</w:t>
      </w:r>
      <w:r w:rsidRPr="0029729F">
        <w:rPr>
          <w:rFonts w:ascii="Garamond" w:hAnsi="Garamond"/>
          <w:color w:val="000000" w:themeColor="text1"/>
        </w:rPr>
        <w:t xml:space="preserve"> [in Hebrew] (forthcoming, </w:t>
      </w:r>
      <w:r w:rsidRPr="0029729F">
        <w:rPr>
          <w:rFonts w:ascii="Garamond" w:hAnsi="Garamond"/>
          <w:smallCaps/>
          <w:color w:val="000000" w:themeColor="text1"/>
        </w:rPr>
        <w:t>TAU Law Review</w:t>
      </w:r>
      <w:r w:rsidRPr="0029729F">
        <w:rPr>
          <w:rFonts w:ascii="Garamond" w:hAnsi="Garamond"/>
          <w:color w:val="000000" w:themeColor="text1"/>
        </w:rPr>
        <w:t xml:space="preserve"> 2026).</w:t>
      </w:r>
    </w:p>
    <w:p w14:paraId="01DFCA7D" w14:textId="0D0FF002" w:rsidR="00747E97" w:rsidRPr="0029729F" w:rsidRDefault="00747E97" w:rsidP="00747E97">
      <w:pPr>
        <w:pStyle w:val="ListParagraph"/>
        <w:numPr>
          <w:ilvl w:val="0"/>
          <w:numId w:val="2"/>
        </w:numPr>
        <w:spacing w:after="120"/>
        <w:rPr>
          <w:rFonts w:ascii="Garamond" w:hAnsi="Garamond"/>
          <w:color w:val="000000" w:themeColor="text1"/>
        </w:rPr>
      </w:pPr>
      <w:r w:rsidRPr="0029729F">
        <w:rPr>
          <w:rFonts w:ascii="Garamond" w:hAnsi="Garamond"/>
          <w:b/>
          <w:bCs/>
          <w:color w:val="000000" w:themeColor="text1"/>
        </w:rPr>
        <w:t>Yifat Aran</w:t>
      </w:r>
      <w:r w:rsidRPr="0029729F">
        <w:rPr>
          <w:rFonts w:ascii="Garamond" w:hAnsi="Garamond"/>
          <w:color w:val="000000" w:themeColor="text1"/>
        </w:rPr>
        <w:t xml:space="preserve">, </w:t>
      </w:r>
      <w:r w:rsidRPr="0029729F">
        <w:rPr>
          <w:rFonts w:ascii="Garamond" w:hAnsi="Garamond"/>
          <w:i/>
          <w:iCs/>
          <w:color w:val="000000" w:themeColor="text1"/>
        </w:rPr>
        <w:t>Shared Capitalism at a Crossroads: Equity Compensation and Factor Bargaining Power in the Innovation Economy</w:t>
      </w:r>
      <w:r w:rsidRPr="0029729F">
        <w:rPr>
          <w:rFonts w:ascii="Garamond" w:hAnsi="Garamond"/>
          <w:color w:val="000000" w:themeColor="text1"/>
        </w:rPr>
        <w:t xml:space="preserve">, </w:t>
      </w:r>
      <w:r w:rsidRPr="0029729F">
        <w:rPr>
          <w:rFonts w:ascii="Garamond" w:hAnsi="Garamond"/>
          <w:smallCaps/>
          <w:color w:val="000000" w:themeColor="text1"/>
        </w:rPr>
        <w:t>International Review of Applied Economics</w:t>
      </w:r>
      <w:r w:rsidR="004A6751" w:rsidRPr="0029729F">
        <w:rPr>
          <w:rFonts w:ascii="Garamond" w:hAnsi="Garamond"/>
          <w:smallCaps/>
          <w:color w:val="000000" w:themeColor="text1"/>
        </w:rPr>
        <w:t xml:space="preserve"> 1–18</w:t>
      </w:r>
      <w:r w:rsidRPr="0029729F">
        <w:rPr>
          <w:rFonts w:ascii="Garamond" w:hAnsi="Garamond"/>
          <w:color w:val="000000" w:themeColor="text1"/>
        </w:rPr>
        <w:t xml:space="preserve"> (2026). </w:t>
      </w:r>
    </w:p>
    <w:p w14:paraId="1838D705"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Nizan Geslevich Packin, </w:t>
      </w:r>
      <w:r>
        <w:rPr>
          <w:rFonts w:ascii="Garamond" w:hAnsi="Garamond"/>
          <w:i/>
          <w:iCs/>
          <w:color w:val="000000" w:themeColor="text1"/>
        </w:rPr>
        <w:t>Due Diligence Dilemma</w:t>
      </w:r>
      <w:r>
        <w:rPr>
          <w:rFonts w:ascii="Garamond" w:hAnsi="Garamond"/>
          <w:color w:val="000000" w:themeColor="text1"/>
        </w:rPr>
        <w:t xml:space="preserve">, 2025(4) </w:t>
      </w:r>
      <w:r>
        <w:rPr>
          <w:rFonts w:ascii="Garamond" w:hAnsi="Garamond"/>
          <w:smallCaps/>
          <w:color w:val="000000" w:themeColor="text1"/>
        </w:rPr>
        <w:t>University of Illinois Law Review</w:t>
      </w:r>
      <w:r>
        <w:rPr>
          <w:rFonts w:ascii="Garamond" w:hAnsi="Garamond"/>
          <w:color w:val="000000" w:themeColor="text1"/>
        </w:rPr>
        <w:t xml:space="preserve"> 101–144 (2025).</w:t>
      </w:r>
    </w:p>
    <w:p w14:paraId="579D8A78"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the CLS Blue Sky Blog.</w:t>
      </w:r>
    </w:p>
    <w:p w14:paraId="41D9B30C"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Raviv Murciano-Goroff, </w:t>
      </w:r>
      <w:r>
        <w:rPr>
          <w:rFonts w:ascii="Garamond" w:hAnsi="Garamond"/>
          <w:i/>
          <w:iCs/>
          <w:color w:val="000000" w:themeColor="text1"/>
        </w:rPr>
        <w:t>Equity Illusions</w:t>
      </w:r>
      <w:r>
        <w:rPr>
          <w:rFonts w:ascii="Garamond" w:hAnsi="Garamond"/>
          <w:color w:val="000000" w:themeColor="text1"/>
        </w:rPr>
        <w:t xml:space="preserve">, 41(1) </w:t>
      </w:r>
      <w:r>
        <w:rPr>
          <w:rFonts w:ascii="Garamond" w:hAnsi="Garamond"/>
          <w:smallCaps/>
          <w:color w:val="000000" w:themeColor="text1"/>
        </w:rPr>
        <w:t>Journal of Law, Economics, &amp; Organization</w:t>
      </w:r>
      <w:r>
        <w:rPr>
          <w:rFonts w:ascii="Garamond" w:hAnsi="Garamond"/>
          <w:color w:val="000000" w:themeColor="text1"/>
        </w:rPr>
        <w:t xml:space="preserve"> 196–238 (2025).</w:t>
      </w:r>
    </w:p>
    <w:p w14:paraId="57B6BB35" w14:textId="615154E6"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Winner of the 2024 AOM Employee Participation and Financial Ownership Scholarly Research Award. Featured in The New York Times, Globes, TheMarker, and Tech12.</w:t>
      </w:r>
    </w:p>
    <w:p w14:paraId="771696C0" w14:textId="3DF67E32"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Elizabeth Pollman, </w:t>
      </w:r>
      <w:r>
        <w:rPr>
          <w:rFonts w:ascii="Garamond" w:hAnsi="Garamond"/>
          <w:i/>
          <w:iCs/>
          <w:color w:val="000000" w:themeColor="text1"/>
        </w:rPr>
        <w:t>Ousted</w:t>
      </w:r>
      <w:r>
        <w:rPr>
          <w:rFonts w:ascii="Garamond" w:hAnsi="Garamond"/>
          <w:color w:val="000000" w:themeColor="text1"/>
        </w:rPr>
        <w:t xml:space="preserve">, 25(1) </w:t>
      </w:r>
      <w:r>
        <w:rPr>
          <w:rFonts w:ascii="Garamond" w:hAnsi="Garamond"/>
          <w:smallCaps/>
          <w:color w:val="000000" w:themeColor="text1"/>
        </w:rPr>
        <w:t>Theoretical Inquiries in Law</w:t>
      </w:r>
      <w:r>
        <w:rPr>
          <w:rFonts w:ascii="Garamond" w:hAnsi="Garamond"/>
          <w:color w:val="000000" w:themeColor="text1"/>
        </w:rPr>
        <w:t xml:space="preserve"> 231–263 (2024).</w:t>
      </w:r>
    </w:p>
    <w:p w14:paraId="38A2350B"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the Chancery Daily, the Harvard Law School Forum on Corporate Governance, the Boardroom Governance Podcast, and the Boardroom Governance Newsletter.</w:t>
      </w:r>
    </w:p>
    <w:p w14:paraId="500FC706"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Startup Law of the Startup Nation</w:t>
      </w:r>
      <w:r>
        <w:rPr>
          <w:rFonts w:ascii="Garamond" w:hAnsi="Garamond"/>
          <w:color w:val="000000" w:themeColor="text1"/>
        </w:rPr>
        <w:t xml:space="preserve"> [in Hebrew], 53 </w:t>
      </w:r>
      <w:r>
        <w:rPr>
          <w:rFonts w:ascii="Garamond" w:hAnsi="Garamond"/>
          <w:smallCaps/>
          <w:color w:val="000000" w:themeColor="text1"/>
        </w:rPr>
        <w:t>Mishpatim Law Review</w:t>
      </w:r>
      <w:r>
        <w:rPr>
          <w:rFonts w:ascii="Garamond" w:hAnsi="Garamond"/>
          <w:color w:val="000000" w:themeColor="text1"/>
        </w:rPr>
        <w:t xml:space="preserve"> 115–183 (2024).</w:t>
      </w:r>
    </w:p>
    <w:p w14:paraId="085319EF"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Cited by the Economic Division of the Tel Aviv District Court in CA 41875-01-20 Kaminski v. Ravid (2023), CA 29021-08-20 Tzur v. Empirical Hire (2023), and CA 17248-05-19 TechnoPlus Ventures v. Bioville (2023).</w:t>
      </w:r>
    </w:p>
    <w:p w14:paraId="22900BBD"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Making Disclosure Work for Start-Up Employees</w:t>
      </w:r>
      <w:r>
        <w:rPr>
          <w:rFonts w:ascii="Garamond" w:hAnsi="Garamond"/>
          <w:color w:val="000000" w:themeColor="text1"/>
        </w:rPr>
        <w:t xml:space="preserve">, 2019(3) </w:t>
      </w:r>
      <w:r>
        <w:rPr>
          <w:rFonts w:ascii="Garamond" w:hAnsi="Garamond"/>
          <w:smallCaps/>
          <w:color w:val="000000" w:themeColor="text1"/>
        </w:rPr>
        <w:t>Columbia Business Law Review</w:t>
      </w:r>
      <w:r>
        <w:rPr>
          <w:rFonts w:ascii="Garamond" w:hAnsi="Garamond"/>
          <w:color w:val="000000" w:themeColor="text1"/>
        </w:rPr>
        <w:t xml:space="preserve"> 867–963 (2019).</w:t>
      </w:r>
    </w:p>
    <w:p w14:paraId="0B1F2176"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Forbes, TechCrunch, and Business Law Prof Blog.</w:t>
      </w:r>
    </w:p>
    <w:p w14:paraId="4B2F4D28" w14:textId="22C4120D"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Beyond Covenants Not to Compete: Equilibrium in High-Tech Start-Up Labor Markets</w:t>
      </w:r>
      <w:r>
        <w:rPr>
          <w:rFonts w:ascii="Garamond" w:hAnsi="Garamond"/>
          <w:color w:val="000000" w:themeColor="text1"/>
        </w:rPr>
        <w:t xml:space="preserve">, 70(4) </w:t>
      </w:r>
      <w:r>
        <w:rPr>
          <w:rFonts w:ascii="Garamond" w:hAnsi="Garamond"/>
          <w:smallCaps/>
          <w:color w:val="000000" w:themeColor="text1"/>
        </w:rPr>
        <w:t>Stanford Law Review</w:t>
      </w:r>
      <w:r>
        <w:rPr>
          <w:rFonts w:ascii="Garamond" w:hAnsi="Garamond"/>
          <w:color w:val="000000" w:themeColor="text1"/>
        </w:rPr>
        <w:t xml:space="preserve"> 1235–1294 (2018).</w:t>
      </w:r>
    </w:p>
    <w:p w14:paraId="70AFC7C7"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Winner of the John Hart Ely Prize in Law and Economics and the Intellectual Property Writing Award, Stanford Law School.</w:t>
      </w:r>
    </w:p>
    <w:p w14:paraId="70AFC7C7"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 xml:space="preserve">Featured on The Indicator from Planet Money (NPR), June 2026.</w:t>
      </w:r>
    </w:p>
    <w:p w14:paraId="1B848C57"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Chapters in Edited Volumes</w:t>
      </w:r>
    </w:p>
    <w:p w14:paraId="310ABF1C" w14:textId="77777777" w:rsidR="00445B3A" w:rsidRPr="00485ACE" w:rsidRDefault="00000000">
      <w:pPr>
        <w:pStyle w:val="ListParagraph"/>
        <w:numPr>
          <w:ilvl w:val="0"/>
          <w:numId w:val="3"/>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RSU Time Bomb: Regulating Startup Equity Compensation in the Unicorn Era</w:t>
      </w:r>
      <w:r>
        <w:rPr>
          <w:rFonts w:ascii="Garamond" w:hAnsi="Garamond"/>
          <w:color w:val="000000" w:themeColor="text1"/>
        </w:rPr>
        <w:t xml:space="preserve">, in </w:t>
      </w:r>
      <w:r>
        <w:rPr>
          <w:rFonts w:ascii="Garamond" w:hAnsi="Garamond"/>
          <w:smallCaps/>
          <w:color w:val="000000" w:themeColor="text1"/>
        </w:rPr>
        <w:t>Research Handbook on PE/VC</w:t>
      </w:r>
      <w:r>
        <w:rPr>
          <w:rFonts w:ascii="Garamond" w:hAnsi="Garamond"/>
          <w:color w:val="000000" w:themeColor="text1"/>
        </w:rPr>
        <w:t xml:space="preserve"> (Brian Broughman &amp; Elisabeth de Fontenay eds., 2026).</w:t>
      </w:r>
    </w:p>
    <w:p w14:paraId="4708A0B9" w14:textId="77777777" w:rsidR="00445B3A" w:rsidRPr="00485ACE" w:rsidRDefault="00000000">
      <w:pPr>
        <w:pStyle w:val="ListParagraph"/>
        <w:numPr>
          <w:ilvl w:val="0"/>
          <w:numId w:val="3"/>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Moran Ofir, </w:t>
      </w:r>
      <w:r>
        <w:rPr>
          <w:rFonts w:ascii="Garamond" w:hAnsi="Garamond"/>
          <w:i/>
          <w:iCs/>
          <w:color w:val="000000" w:themeColor="text1"/>
        </w:rPr>
        <w:t>The Effect of Specialised Courts over Time</w:t>
      </w:r>
      <w:r>
        <w:rPr>
          <w:rFonts w:ascii="Garamond" w:hAnsi="Garamond"/>
          <w:color w:val="000000" w:themeColor="text1"/>
        </w:rPr>
        <w:t xml:space="preserve">, in </w:t>
      </w:r>
      <w:r>
        <w:rPr>
          <w:rFonts w:ascii="Garamond" w:hAnsi="Garamond"/>
          <w:smallCaps/>
          <w:color w:val="000000" w:themeColor="text1"/>
        </w:rPr>
        <w:t>Time, Law and Change: An Interdisciplinary Study</w:t>
      </w:r>
      <w:r>
        <w:rPr>
          <w:rFonts w:ascii="Garamond" w:hAnsi="Garamond"/>
          <w:color w:val="000000" w:themeColor="text1"/>
        </w:rPr>
        <w:t xml:space="preserve"> 167–188 (Sofia Ranchordas &amp; Yaniv Roznai eds., Hart Publishing, 2020).</w:t>
      </w:r>
    </w:p>
    <w:p w14:paraId="12CCB1F0"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Earlier draft cited by the Economic Division in Tel Aviv District Court in CA 5136-07-21 Hagshama v. Wisner (2021).</w:t>
      </w:r>
    </w:p>
    <w:p w14:paraId="1B848C57"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 xml:space="preserve">Work in Progress</w:t>
      </w:r>
    </w:p>
    <w:p w14:paraId="1E5FA900" w14:textId="0C11C3E5" w:rsidR="006E6C34" w:rsidRPr="006E6C34" w:rsidRDefault="006E6C34" w:rsidP="006E6C34">
      <w:pPr>
        <w:pStyle w:val="ListParagraph"/>
        <w:numPr>
          <w:ilvl w:val="0"/>
          <w:numId w:val="10"/>
        </w:numPr>
        <w:spacing w:after="80"/>
        <w:rPr>
          <w:rFonts w:ascii="Garamond" w:hAnsi="Garamond"/>
          <w:color w:val="000000" w:themeColor="text1"/>
        </w:rPr>
      </w:pPr>
      <w:r w:rsidRPr="0029729F">
        <w:rPr>
          <w:rFonts w:ascii="Garamond" w:hAnsi="Garamond"/>
          <w:bCs/>
          <w:color w:val="000000" w:themeColor="text1"/>
        </w:rPr>
        <w:t xml:space="preserve">Brian Broughman &amp; </w:t>
      </w:r>
      <w:r w:rsidRPr="0029729F">
        <w:rPr>
          <w:rFonts w:ascii="Garamond" w:hAnsi="Garamond"/>
          <w:b/>
          <w:bCs/>
          <w:color w:val="000000" w:themeColor="text1"/>
        </w:rPr>
        <w:t xml:space="preserve">Yifat Aran</w:t>
      </w:r>
      <w:r w:rsidRPr="0029729F">
        <w:rPr>
          <w:rFonts w:ascii="Garamond" w:hAnsi="Garamond"/>
          <w:bCs/>
          <w:color w:val="000000" w:themeColor="text1"/>
        </w:rPr>
        <w:t xml:space="preserve">, </w:t>
      </w:r>
      <w:r w:rsidRPr="0029729F">
        <w:rPr>
          <w:rFonts w:ascii="Garamond" w:hAnsi="Garamond"/>
          <w:bCs/>
          <w:color w:val="000000" w:themeColor="text1"/>
          <w:i/>
        </w:rPr>
        <w:t xml:space="preserve">Venture Unraveled</w:t>
      </w:r>
      <w:r w:rsidRPr="0029729F">
        <w:rPr>
          <w:rFonts w:ascii="Garamond" w:hAnsi="Garamond"/>
          <w:bCs/>
          <w:color w:val="000000" w:themeColor="text1"/>
        </w:rPr>
        <w:t xml:space="preserve">.</w:t>
      </w:r>
    </w:p>
    <w:p w14:paraId="04527037"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Other Publications</w:t>
      </w:r>
    </w:p>
    <w:p w14:paraId="6A4B8D31"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What Brazil Reveals About the Limits of Venture Capital Contract Transplants</w:t>
      </w:r>
      <w:r>
        <w:rPr>
          <w:rFonts w:ascii="Garamond" w:hAnsi="Garamond"/>
          <w:color w:val="000000" w:themeColor="text1"/>
        </w:rPr>
        <w:t>, ECGI Blog (April 27, 2026).</w:t>
      </w:r>
    </w:p>
    <w:p w14:paraId="5270046C"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Casimiro Nigro, </w:t>
      </w:r>
      <w:r>
        <w:rPr>
          <w:rFonts w:ascii="Garamond" w:hAnsi="Garamond"/>
          <w:i/>
          <w:iCs/>
          <w:color w:val="000000" w:themeColor="text1"/>
        </w:rPr>
        <w:t>E.U. Stock Option Policy: Time for a Holistic Approach</w:t>
      </w:r>
      <w:r>
        <w:rPr>
          <w:rFonts w:ascii="Garamond" w:hAnsi="Garamond"/>
          <w:color w:val="000000" w:themeColor="text1"/>
        </w:rPr>
        <w:t>, ECGI Blog (January 10, 2026).</w:t>
      </w:r>
    </w:p>
    <w:p w14:paraId="53ED5202"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Nizan Geslevich Packin, </w:t>
      </w:r>
      <w:r>
        <w:rPr>
          <w:rFonts w:ascii="Garamond" w:hAnsi="Garamond"/>
          <w:i/>
          <w:iCs/>
          <w:color w:val="000000" w:themeColor="text1"/>
        </w:rPr>
        <w:t>When Venture Capital’s Speed Runs Ahead of Its Due Diligence</w:t>
      </w:r>
      <w:r>
        <w:rPr>
          <w:rFonts w:ascii="Garamond" w:hAnsi="Garamond"/>
          <w:color w:val="000000" w:themeColor="text1"/>
        </w:rPr>
        <w:t>, CLS Blue Sky Blog (July 17, 2025).</w:t>
      </w:r>
    </w:p>
    <w:p w14:paraId="24A11D49"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Brian Broughman &amp; Elizabeth Pollman, </w:t>
      </w:r>
      <w:r>
        <w:rPr>
          <w:rFonts w:ascii="Garamond" w:hAnsi="Garamond"/>
          <w:i/>
          <w:iCs/>
          <w:color w:val="000000" w:themeColor="text1"/>
        </w:rPr>
        <w:t>CEO Turnover at Dual-Class Firms</w:t>
      </w:r>
      <w:r>
        <w:rPr>
          <w:rFonts w:ascii="Garamond" w:hAnsi="Garamond"/>
          <w:color w:val="000000" w:themeColor="text1"/>
        </w:rPr>
        <w:t>, Harvard Law School Forum on Corporate Governance (January 30, 2025).</w:t>
      </w:r>
    </w:p>
    <w:p w14:paraId="66389B0D"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Regulating Startup Equity Compensation in the Unicorn Era</w:t>
      </w:r>
      <w:r>
        <w:rPr>
          <w:rFonts w:ascii="Garamond" w:hAnsi="Garamond"/>
          <w:color w:val="000000" w:themeColor="text1"/>
        </w:rPr>
        <w:t>, Oxford Business Law Blog (February 5, 2024).</w:t>
      </w:r>
    </w:p>
    <w:p w14:paraId="2AC1C1E8"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Elizabeth Pollman, </w:t>
      </w:r>
      <w:r>
        <w:rPr>
          <w:rFonts w:ascii="Garamond" w:hAnsi="Garamond"/>
          <w:i/>
          <w:iCs/>
          <w:color w:val="000000" w:themeColor="text1"/>
        </w:rPr>
        <w:t>Ousted</w:t>
      </w:r>
      <w:r>
        <w:rPr>
          <w:rFonts w:ascii="Garamond" w:hAnsi="Garamond"/>
          <w:color w:val="000000" w:themeColor="text1"/>
        </w:rPr>
        <w:t>, Harvard Law School Forum on Corporate Governance (November 29, 2023).</w:t>
      </w:r>
    </w:p>
    <w:p w14:paraId="4EEFA40D" w14:textId="77777777" w:rsidR="0030252E" w:rsidRPr="00485ACE" w:rsidRDefault="0030252E" w:rsidP="0030252E">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Raviv Murciano-Goroff, </w:t>
      </w:r>
      <w:r>
        <w:rPr>
          <w:rFonts w:ascii="Garamond" w:hAnsi="Garamond"/>
          <w:i/>
          <w:iCs/>
          <w:color w:val="000000" w:themeColor="text1"/>
        </w:rPr>
        <w:t>When It Comes to Compensation, More Equity Isn’t Always Better</w:t>
      </w:r>
      <w:r>
        <w:rPr>
          <w:rFonts w:ascii="Garamond" w:hAnsi="Garamond"/>
          <w:color w:val="000000" w:themeColor="text1"/>
        </w:rPr>
        <w:t xml:space="preserve">, </w:t>
      </w:r>
      <w:r>
        <w:rPr>
          <w:rFonts w:ascii="Garamond" w:hAnsi="Garamond"/>
          <w:smallCaps/>
          <w:color w:val="000000" w:themeColor="text1"/>
        </w:rPr>
        <w:t>Harvard Business Review</w:t>
      </w:r>
      <w:r>
        <w:rPr>
          <w:rFonts w:ascii="Garamond" w:hAnsi="Garamond"/>
          <w:color w:val="000000" w:themeColor="text1"/>
        </w:rPr>
        <w:t xml:space="preserve"> (September 12, 2023).</w:t>
      </w:r>
    </w:p>
    <w:p w14:paraId="5D268B7A" w14:textId="77777777" w:rsidR="00445B3A"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A new coalition for “Open Cap Table” presents an opportunity for equity transparency</w:t>
      </w:r>
      <w:r>
        <w:rPr>
          <w:rFonts w:ascii="Garamond" w:hAnsi="Garamond"/>
          <w:color w:val="000000" w:themeColor="text1"/>
        </w:rPr>
        <w:t>, TechCrunch (August 29, 2021).</w:t>
      </w:r>
    </w:p>
    <w:p w14:paraId="69A795B1"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SEC should do more to make startup equity compensation transparent</w:t>
      </w:r>
      <w:r>
        <w:rPr>
          <w:rFonts w:ascii="Garamond" w:hAnsi="Garamond"/>
          <w:color w:val="000000" w:themeColor="text1"/>
        </w:rPr>
        <w:t>, TechCrunch (April 24, 2021).</w:t>
      </w:r>
    </w:p>
    <w:p w14:paraId="65A7B862" w14:textId="2383B30C" w:rsidR="00445B3A" w:rsidRPr="00485ACE" w:rsidRDefault="00000000">
      <w:pPr>
        <w:pStyle w:val="Heading1"/>
        <w:keepNext/>
        <w:keepLines/>
        <w:rPr>
          <w:rFonts w:ascii="Garamond" w:hAnsi="Garamond"/>
          <w:color w:val="000000" w:themeColor="text1"/>
        </w:rPr>
      </w:pPr>
      <w:r>
        <w:rPr>
          <w:rFonts w:ascii="Garamond" w:hAnsi="Garamond"/>
          <w:color w:val="000000" w:themeColor="text1"/>
        </w:rPr>
        <w:lastRenderedPageBreak/>
        <w:t>FELLOWSHIPS</w:t>
      </w:r>
    </w:p>
    <w:p w14:paraId="6E596B7A" w14:textId="18BA6262"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2025–present</w:t>
      </w:r>
      <w:r>
        <w:rPr>
          <w:rFonts w:ascii="Garamond" w:hAnsi="Garamond"/>
          <w:color w:val="000000" w:themeColor="text1"/>
        </w:rPr>
        <w:tab/>
        <w:t xml:space="preserve">The Project on Israel and the Regional Economy, Harvard Business School</w:t>
      </w:r>
    </w:p>
    <w:p w14:paraId="27B2EC9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2025</w:t>
      </w:r>
      <w:r>
        <w:rPr>
          <w:rFonts w:ascii="Garamond" w:hAnsi="Garamond"/>
          <w:color w:val="000000" w:themeColor="text1"/>
        </w:rPr>
        <w:tab/>
        <w:t>Nachson and Arieh Mimran Fellowship, Institute for the Study of Employee Ownership and Profit Sharing, Rutgers University</w:t>
      </w:r>
    </w:p>
    <w:p w14:paraId="2454EE45"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2022–2023</w:t>
      </w:r>
      <w:r>
        <w:rPr>
          <w:rFonts w:ascii="Garamond" w:hAnsi="Garamond"/>
          <w:color w:val="000000" w:themeColor="text1"/>
        </w:rPr>
        <w:tab/>
        <w:t>Institute for the Study of Employee Ownership and Profit Sharing, Rutgers University</w:t>
      </w:r>
    </w:p>
    <w:p w14:paraId="694595F8"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2022</w:t>
      </w:r>
      <w:r>
        <w:rPr>
          <w:rFonts w:ascii="Garamond" w:hAnsi="Garamond"/>
          <w:color w:val="000000" w:themeColor="text1"/>
        </w:rPr>
        <w:tab/>
        <w:t>Summer Fellowship, Center for Advanced Studies on the Foundations of Law and Finance (LawFin), Goethe University Frankfurt</w:t>
      </w:r>
    </w:p>
    <w:p w14:paraId="2D97412F"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2017–2020</w:t>
      </w:r>
      <w:r>
        <w:rPr>
          <w:rFonts w:ascii="Garamond" w:hAnsi="Garamond"/>
          <w:color w:val="000000" w:themeColor="text1"/>
        </w:rPr>
        <w:tab/>
        <w:t>Donna Schweers and Thomas Geiser Interdisciplinary Graduate Fellowship (SIGF), Stanford University</w:t>
      </w:r>
    </w:p>
    <w:p w14:paraId="4F5AC8B6"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John M. Olin Fellow in Law and Economics, Stanford Law School</w:t>
      </w:r>
    </w:p>
    <w:p w14:paraId="162A3D7C"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AWARDS, HONORS &amp; SCHOLARSHIPS</w:t>
      </w:r>
    </w:p>
    <w:p w14:paraId="415D09BE" w14:textId="69F532CA" w:rsidR="008048DB" w:rsidRDefault="008048DB" w:rsidP="00406FC3">
      <w:pPr>
        <w:tabs>
          <w:tab w:val="left" w:pos="1800"/>
        </w:tabs>
        <w:spacing w:after="60"/>
        <w:ind w:left="1418" w:hanging="1418"/>
        <w:rPr>
          <w:rFonts w:ascii="Garamond" w:hAnsi="Garamond"/>
          <w:b/>
          <w:bCs/>
          <w:color w:val="000000" w:themeColor="text1"/>
        </w:rPr>
      </w:pPr>
      <w:r>
        <w:rPr>
          <w:rFonts w:ascii="Garamond" w:hAnsi="Garamond"/>
          <w:b/>
          <w:bCs/>
          <w:color w:val="000000" w:themeColor="text1"/>
        </w:rPr>
        <w:t xml:space="preserve">2026 </w:t>
      </w:r>
      <w:r>
        <w:rPr>
          <w:rFonts w:ascii="Garamond" w:hAnsi="Garamond"/>
          <w:b/>
          <w:bCs/>
          <w:color w:val="000000" w:themeColor="text1"/>
        </w:rPr>
        <w:tab/>
      </w:r>
      <w:r w:rsidR="001679F5" w:rsidRPr="001679F5">
        <w:rPr>
          <w:rFonts w:ascii="Garamond" w:hAnsi="Garamond"/>
          <w:color w:val="000000" w:themeColor="text1"/>
        </w:rPr>
        <w:t>Annual Research Award</w:t>
      </w:r>
      <w:r w:rsidR="001679F5">
        <w:rPr>
          <w:rFonts w:ascii="Garamond" w:hAnsi="Garamond"/>
          <w:color w:val="000000" w:themeColor="text1"/>
        </w:rPr>
        <w:t xml:space="preserve">, </w:t>
      </w:r>
      <w:r w:rsidR="001679F5" w:rsidRPr="001679F5">
        <w:rPr>
          <w:rFonts w:ascii="Garamond" w:hAnsi="Garamond"/>
          <w:color w:val="000000" w:themeColor="text1"/>
        </w:rPr>
        <w:t>The University of Haifa</w:t>
      </w:r>
      <w:r w:rsidR="001679F5">
        <w:rPr>
          <w:rFonts w:ascii="Garamond" w:hAnsi="Garamond"/>
          <w:color w:val="000000" w:themeColor="text1"/>
        </w:rPr>
        <w:t xml:space="preserve"> (</w:t>
      </w:r>
      <w:r w:rsidR="001679F5" w:rsidRPr="001679F5">
        <w:rPr>
          <w:rFonts w:ascii="Garamond" w:hAnsi="Garamond"/>
          <w:color w:val="000000" w:themeColor="text1"/>
        </w:rPr>
        <w:t>granted to the top 18% of most productive researchers across schools and departments</w:t>
      </w:r>
      <w:r w:rsidR="001679F5">
        <w:rPr>
          <w:rFonts w:ascii="Garamond" w:hAnsi="Garamond"/>
          <w:color w:val="000000" w:themeColor="text1"/>
        </w:rPr>
        <w:t>).</w:t>
      </w:r>
    </w:p>
    <w:p w14:paraId="777D2C64"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Shneior Zalman Heshin Prize for Young Scholar, The Hebrew University of Jerusalem</w:t>
      </w:r>
    </w:p>
    <w:p w14:paraId="181CE8F3"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Employee Participation and Financial Ownership Scholarly Research Award, Academy of Management (AOM) HR Division (with Raviv Murciano-Goroff)</w:t>
      </w:r>
    </w:p>
    <w:p w14:paraId="2821660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Etty &amp; Dusty Miller Award for Outstanding Research, University of Haifa</w:t>
      </w:r>
    </w:p>
    <w:p w14:paraId="1EAC65B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John Hart Ely Prize in Law and Economics, Stanford Law School</w:t>
      </w:r>
    </w:p>
    <w:p w14:paraId="56C7F04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Intellectual Property Writing Award, Stanford Law School</w:t>
      </w:r>
    </w:p>
    <w:p w14:paraId="7E0E649A"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2017–2018</w:t>
      </w:r>
      <w:r>
        <w:rPr>
          <w:rFonts w:ascii="Garamond" w:hAnsi="Garamond"/>
          <w:color w:val="000000" w:themeColor="text1"/>
        </w:rPr>
        <w:tab/>
        <w:t>Silvan Cohen Fund Scholarship, Hebrew University Law School</w:t>
      </w:r>
    </w:p>
    <w:p w14:paraId="68D2C8E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2016–2018</w:t>
      </w:r>
      <w:r>
        <w:rPr>
          <w:rFonts w:ascii="Garamond" w:hAnsi="Garamond"/>
          <w:color w:val="000000" w:themeColor="text1"/>
        </w:rPr>
        <w:tab/>
        <w:t>International Peace Scholarship, P.E.O. International Sisterhood</w:t>
      </w:r>
    </w:p>
    <w:p w14:paraId="797331F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2015–2020</w:t>
      </w:r>
      <w:r>
        <w:rPr>
          <w:rFonts w:ascii="Garamond" w:hAnsi="Garamond"/>
          <w:color w:val="000000" w:themeColor="text1"/>
        </w:rPr>
        <w:tab/>
        <w:t>E. David Fischman Scholarship</w:t>
      </w:r>
    </w:p>
    <w:p w14:paraId="5351CDD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w:t>
      </w:r>
      <w:r>
        <w:rPr>
          <w:rFonts w:ascii="Garamond" w:hAnsi="Garamond"/>
          <w:color w:val="000000" w:themeColor="text1"/>
        </w:rPr>
        <w:tab/>
        <w:t>Gerald Gunther Prize for Outstanding Performance in Modern American Legal Thought, Stanford Law School</w:t>
      </w:r>
    </w:p>
    <w:p w14:paraId="4A281084"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 &amp; 2017</w:t>
      </w:r>
      <w:r>
        <w:rPr>
          <w:rFonts w:ascii="Garamond" w:hAnsi="Garamond"/>
          <w:color w:val="000000" w:themeColor="text1"/>
        </w:rPr>
        <w:tab/>
        <w:t>Lamas Fund Scholarship, Hebrew University</w:t>
      </w:r>
    </w:p>
    <w:p w14:paraId="04519E06"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2014 &amp; 2019</w:t>
      </w:r>
      <w:r>
        <w:rPr>
          <w:rFonts w:ascii="Garamond" w:hAnsi="Garamond"/>
          <w:color w:val="000000" w:themeColor="text1"/>
        </w:rPr>
        <w:tab/>
        <w:t>Decalogue Fund Scholarship, Hebrew University Law School</w:t>
      </w:r>
    </w:p>
    <w:p w14:paraId="0936612F"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2010</w:t>
      </w:r>
      <w:r>
        <w:rPr>
          <w:rFonts w:ascii="Garamond" w:hAnsi="Garamond"/>
          <w:color w:val="000000" w:themeColor="text1"/>
        </w:rPr>
        <w:tab/>
        <w:t>Lionel Cohen Award (Class Valedictorian), Hebrew University Law School</w:t>
      </w:r>
    </w:p>
    <w:p w14:paraId="063AF782"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2009</w:t>
      </w:r>
      <w:r>
        <w:rPr>
          <w:rFonts w:ascii="Garamond" w:hAnsi="Garamond"/>
          <w:color w:val="000000" w:themeColor="text1"/>
        </w:rPr>
        <w:tab/>
        <w:t>Wolf Foundation Award for Academic Excellence, Hebrew University</w:t>
      </w:r>
    </w:p>
    <w:p w14:paraId="1F35E8E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2008</w:t>
      </w:r>
      <w:r>
        <w:rPr>
          <w:rFonts w:ascii="Garamond" w:hAnsi="Garamond"/>
          <w:color w:val="000000" w:themeColor="text1"/>
        </w:rPr>
        <w:tab/>
        <w:t>Eisenberg Award for Outstanding Law Student, Hebrew University</w:t>
      </w:r>
    </w:p>
    <w:p w14:paraId="7233D17B"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RESEARCH GRANTS</w:t>
      </w:r>
    </w:p>
    <w:p w14:paraId="00D156E4"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2026–2029  </w:t>
      </w:r>
      <w:r>
        <w:rPr>
          <w:rFonts w:ascii="Garamond" w:hAnsi="Garamond"/>
          <w:color w:val="000000" w:themeColor="text1"/>
        </w:rPr>
        <w:t xml:space="preserve">PI. </w:t>
      </w:r>
      <w:r>
        <w:rPr>
          <w:rFonts w:ascii="Garamond" w:hAnsi="Garamond"/>
          <w:i/>
          <w:iCs/>
          <w:color w:val="000000" w:themeColor="text1"/>
        </w:rPr>
        <w:t>Liquidity Without Listing: The Legal and Institutional Infrastructure of Private Capital Markets</w:t>
      </w:r>
      <w:r>
        <w:rPr>
          <w:rFonts w:ascii="Garamond" w:hAnsi="Garamond"/>
          <w:color w:val="000000" w:themeColor="text1"/>
        </w:rPr>
        <w:t>. Israel Science Foundation (ISF). ₪540,000.</w:t>
      </w:r>
    </w:p>
    <w:p w14:paraId="5A3C9E21"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2026–2027  </w:t>
      </w:r>
      <w:r>
        <w:rPr>
          <w:rFonts w:ascii="Garamond" w:hAnsi="Garamond"/>
          <w:color w:val="000000" w:themeColor="text1"/>
        </w:rPr>
        <w:t xml:space="preserve">PI. </w:t>
      </w:r>
      <w:r>
        <w:rPr>
          <w:rFonts w:ascii="Garamond" w:hAnsi="Garamond"/>
          <w:i/>
          <w:iCs/>
          <w:color w:val="000000" w:themeColor="text1"/>
        </w:rPr>
        <w:t>Where Does “Start-Up Nation” Actually Operate? The Operational Geography of Israeli Startups, Access to Capital, and Implications for Israeli Entrepreneurship</w:t>
      </w:r>
      <w:r>
        <w:rPr>
          <w:rFonts w:ascii="Garamond" w:hAnsi="Garamond"/>
          <w:color w:val="000000" w:themeColor="text1"/>
        </w:rPr>
        <w:t>. The Phoenix Institute for Capital Market Research, Reichman University.</w:t>
      </w:r>
    </w:p>
    <w:p w14:paraId="49D8A0AD"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 xml:space="preserve">PI. </w:t>
      </w:r>
      <w:r>
        <w:rPr>
          <w:rFonts w:ascii="Garamond" w:hAnsi="Garamond"/>
          <w:i/>
          <w:iCs/>
          <w:color w:val="000000" w:themeColor="text1"/>
        </w:rPr>
        <w:t>Indefinitely Private</w:t>
      </w:r>
      <w:r>
        <w:rPr>
          <w:rFonts w:ascii="Garamond" w:hAnsi="Garamond"/>
          <w:color w:val="000000" w:themeColor="text1"/>
        </w:rPr>
        <w:t>. Haifa University International Collaboration Fund. $10,000.</w:t>
      </w:r>
    </w:p>
    <w:p w14:paraId="7BE3F9E2"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2023–2025  </w:t>
      </w:r>
      <w:r>
        <w:rPr>
          <w:rFonts w:ascii="Garamond" w:hAnsi="Garamond"/>
          <w:color w:val="000000" w:themeColor="text1"/>
        </w:rPr>
        <w:t xml:space="preserve">PI. </w:t>
      </w:r>
      <w:r>
        <w:rPr>
          <w:rFonts w:ascii="Garamond" w:hAnsi="Garamond"/>
          <w:i/>
          <w:iCs/>
          <w:color w:val="000000" w:themeColor="text1"/>
        </w:rPr>
        <w:t>Theoretical and Comparative Analysis of Startup Ownership</w:t>
      </w:r>
      <w:r>
        <w:rPr>
          <w:rFonts w:ascii="Garamond" w:hAnsi="Garamond"/>
          <w:color w:val="000000" w:themeColor="text1"/>
        </w:rPr>
        <w:t>. Israel Science Foundation (ISF). ₪561,000.</w:t>
      </w:r>
    </w:p>
    <w:p w14:paraId="79FF28BD"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TEACHING</w:t>
      </w:r>
    </w:p>
    <w:p w14:paraId="4C3176DD" w14:textId="476965FF" w:rsidR="00445B3A" w:rsidRPr="00485ACE" w:rsidRDefault="00000000" w:rsidP="008C78BB">
      <w:pPr>
        <w:tabs>
          <w:tab w:val="right" w:pos="9026"/>
        </w:tabs>
        <w:spacing w:after="60"/>
        <w:rPr>
          <w:rFonts w:ascii="Garamond" w:hAnsi="Garamond"/>
          <w:color w:val="000000" w:themeColor="text1"/>
        </w:rPr>
      </w:pPr>
      <w:r>
        <w:rPr>
          <w:rFonts w:ascii="Garamond" w:hAnsi="Garamond"/>
          <w:b/>
          <w:bCs/>
          <w:color w:val="000000" w:themeColor="text1"/>
        </w:rPr>
        <w:t>Corporate Law in the ESG Era</w:t>
      </w:r>
      <w:r>
        <w:rPr>
          <w:rFonts w:ascii="Garamond" w:hAnsi="Garamond"/>
          <w:color w:val="000000" w:themeColor="text1"/>
        </w:rPr>
        <w:t xml:space="preserve"> </w:t>
      </w:r>
      <w:r w:rsidR="00610914">
        <w:rPr>
          <w:rFonts w:ascii="Garamond" w:hAnsi="Garamond"/>
          <w:b/>
          <w:bCs/>
          <w:color w:val="000000" w:themeColor="text1"/>
        </w:rPr>
        <w:t>(Seminar)</w:t>
      </w:r>
      <w:r w:rsidR="00610914">
        <w:rPr>
          <w:rFonts w:ascii="Garamond" w:hAnsi="Garamond"/>
          <w:color w:val="000000" w:themeColor="text1"/>
        </w:rPr>
        <w:t xml:space="preserve"> </w:t>
      </w:r>
      <w:r>
        <w:rPr>
          <w:rFonts w:ascii="Garamond" w:hAnsi="Garamond"/>
          <w:color w:val="000000" w:themeColor="text1"/>
        </w:rPr>
        <w:t>(LLM), University of Haifa</w:t>
      </w:r>
      <w:r>
        <w:rPr>
          <w:rFonts w:ascii="Garamond" w:hAnsi="Garamond"/>
          <w:color w:val="000000" w:themeColor="text1"/>
        </w:rPr>
        <w:tab/>
        <w:t>2023–2026</w:t>
      </w:r>
      <w:r>
        <w:rPr>
          <w:rFonts w:ascii="Garamond" w:hAnsi="Garamond"/>
          <w:color w:val="000000" w:themeColor="text1"/>
        </w:rPr>
        <w:tab/>
      </w:r>
    </w:p>
    <w:p w14:paraId="1CE21182" w14:textId="7F36E6CD"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Law and Entrepreneurship (Seminar)</w:t>
      </w:r>
      <w:r>
        <w:rPr>
          <w:rFonts w:ascii="Garamond" w:hAnsi="Garamond"/>
          <w:color w:val="000000" w:themeColor="text1"/>
        </w:rPr>
        <w:t xml:space="preserve"> (LLB), University of Haifa</w:t>
      </w:r>
      <w:r>
        <w:rPr>
          <w:rFonts w:ascii="Garamond" w:hAnsi="Garamond"/>
          <w:color w:val="000000" w:themeColor="text1"/>
        </w:rPr>
        <w:tab/>
        <w:t>2022</w:t>
      </w:r>
      <w:r w:rsidR="002C2F52">
        <w:rPr>
          <w:rFonts w:ascii="Garamond" w:hAnsi="Garamond"/>
          <w:color w:val="000000" w:themeColor="text1"/>
        </w:rPr>
        <w:t>, 2026</w:t>
      </w:r>
    </w:p>
    <w:p w14:paraId="27C666DE" w14:textId="11FAF8E8"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Entrepreneurship and Regulation</w:t>
      </w:r>
      <w:r>
        <w:rPr>
          <w:rFonts w:ascii="Garamond" w:hAnsi="Garamond"/>
          <w:color w:val="000000" w:themeColor="text1"/>
        </w:rPr>
        <w:t xml:space="preserve"> (MBA), Technion </w:t>
      </w:r>
      <w:r>
        <w:rPr>
          <w:rFonts w:ascii="Garamond" w:hAnsi="Garamond"/>
          <w:color w:val="000000" w:themeColor="text1"/>
        </w:rPr>
        <w:tab/>
        <w:t>2022–2026</w:t>
      </w:r>
    </w:p>
    <w:p w14:paraId="4CCAD88A"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Corporate Law (Mandatory)</w:t>
      </w:r>
      <w:r>
        <w:rPr>
          <w:rFonts w:ascii="Garamond" w:hAnsi="Garamond"/>
          <w:color w:val="000000" w:themeColor="text1"/>
        </w:rPr>
        <w:t xml:space="preserve"> (LLB), University of Haifa</w:t>
      </w:r>
      <w:r>
        <w:rPr>
          <w:rFonts w:ascii="Garamond" w:hAnsi="Garamond"/>
          <w:color w:val="000000" w:themeColor="text1"/>
        </w:rPr>
        <w:tab/>
        <w:t>2021–present</w:t>
      </w:r>
    </w:p>
    <w:p w14:paraId="08ED37DB" w14:textId="542FF475" w:rsidR="00445B3A" w:rsidRPr="00485ACE" w:rsidRDefault="00000000">
      <w:pPr>
        <w:pStyle w:val="Heading1"/>
        <w:keepNext/>
        <w:keepLines/>
        <w:rPr>
          <w:rFonts w:ascii="Garamond" w:hAnsi="Garamond"/>
          <w:color w:val="000000" w:themeColor="text1"/>
        </w:rPr>
      </w:pPr>
      <w:r>
        <w:rPr>
          <w:rFonts w:ascii="Garamond" w:hAnsi="Garamond"/>
          <w:color w:val="000000" w:themeColor="text1"/>
        </w:rPr>
        <w:lastRenderedPageBreak/>
        <w:t>SELECTED PRESENTATIONS</w:t>
      </w:r>
    </w:p>
    <w:p w14:paraId="0F849205"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Invited Scholarly Lectures</w:t>
      </w:r>
    </w:p>
    <w:p w14:paraId="2F713D8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Venture Capital Seminar, Vanderbilt University</w:t>
      </w:r>
    </w:p>
    <w:p w14:paraId="20A9CE1C" w14:textId="77777777" w:rsidR="00445B3A" w:rsidRPr="000B4497" w:rsidRDefault="00000000">
      <w:pPr>
        <w:spacing w:after="50"/>
        <w:rPr>
          <w:rFonts w:ascii="Garamond" w:hAnsi="Garamond"/>
          <w:color w:val="000000" w:themeColor="text1"/>
        </w:rPr>
      </w:pPr>
      <w:r>
        <w:rPr>
          <w:rFonts w:ascii="Garamond" w:hAnsi="Garamond"/>
          <w:b/>
          <w:bCs/>
          <w:color w:val="000000" w:themeColor="text1"/>
        </w:rPr>
        <w:t xml:space="preserve">2025  </w:t>
      </w:r>
      <w:r w:rsidRPr="000B4497">
        <w:rPr>
          <w:rFonts w:ascii="Garamond" w:hAnsi="Garamond"/>
          <w:color w:val="000000" w:themeColor="text1"/>
        </w:rPr>
        <w:t>I.B.I. Capital, Tel Aviv</w:t>
      </w:r>
    </w:p>
    <w:p w14:paraId="6BE28BE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Comparative Corporate Governance, Harvard Law School</w:t>
      </w:r>
    </w:p>
    <w:p w14:paraId="26531C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Seminar for Judges of the Economic and District Courts, Tel Aviv University</w:t>
      </w:r>
    </w:p>
    <w:p w14:paraId="2D54C923"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2023</w:t>
      </w:r>
      <w:r w:rsidRPr="000B4497">
        <w:rPr>
          <w:rFonts w:ascii="Garamond" w:hAnsi="Garamond"/>
          <w:color w:val="000000" w:themeColor="text1"/>
        </w:rPr>
        <w:t xml:space="preserve">  I.B.I. Capital &amp; Israeli Export Institute (invited panelist)</w:t>
      </w:r>
    </w:p>
    <w:p w14:paraId="28B509B3"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2022</w:t>
      </w:r>
      <w:r w:rsidRPr="000B4497">
        <w:rPr>
          <w:rFonts w:ascii="Garamond" w:hAnsi="Garamond"/>
          <w:color w:val="000000" w:themeColor="text1"/>
        </w:rPr>
        <w:t xml:space="preserve">  I.B.I. Capital &amp; Israeli Export Institute</w:t>
      </w:r>
    </w:p>
    <w:p w14:paraId="4441E487"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2022</w:t>
      </w:r>
      <w:r w:rsidRPr="000B4497">
        <w:rPr>
          <w:rFonts w:ascii="Garamond" w:hAnsi="Garamond"/>
          <w:color w:val="000000" w:themeColor="text1"/>
        </w:rPr>
        <w:t xml:space="preserve">  I.B.I. Capital &amp; Naschitz Brandes Amir (invited panelist)</w:t>
      </w:r>
    </w:p>
    <w:p w14:paraId="2EE8FA57"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2021</w:t>
      </w:r>
      <w:r w:rsidRPr="000B4497">
        <w:rPr>
          <w:rFonts w:ascii="Garamond" w:hAnsi="Garamond"/>
          <w:color w:val="000000" w:themeColor="text1"/>
        </w:rPr>
        <w:t xml:space="preserve">  I.B.I. Capital &amp; Israeli Export Institute (invited panelist)</w:t>
      </w:r>
    </w:p>
    <w:p w14:paraId="5A0B0001"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2020  </w:t>
      </w:r>
      <w:r>
        <w:rPr>
          <w:rFonts w:ascii="Garamond" w:hAnsi="Garamond"/>
          <w:color w:val="000000" w:themeColor="text1"/>
        </w:rPr>
        <w:t xml:space="preserve">I.B.I. Capital</w:t>
      </w:r>
    </w:p>
    <w:p w14:paraId="5D7EB849"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Selected Conference Presentations</w:t>
      </w:r>
    </w:p>
    <w:p w14:paraId="6170BA42" w14:textId="6126B6C9"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03/2026  </w:t>
      </w:r>
      <w:r w:rsidRPr="00840F48">
        <w:rPr>
          <w:rFonts w:ascii="Garamond" w:hAnsi="Garamond"/>
          <w:color w:val="000000" w:themeColor="text1"/>
        </w:rPr>
        <w:t xml:space="preserve">6th LawFin Workshop on U.S. Venture Capital Contracting, Goethe University Frankfurt </w:t>
      </w:r>
    </w:p>
    <w:p w14:paraId="2756A0D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01/2026  </w:t>
      </w:r>
      <w:r>
        <w:rPr>
          <w:rFonts w:ascii="Garamond" w:hAnsi="Garamond"/>
          <w:color w:val="000000" w:themeColor="text1"/>
        </w:rPr>
        <w:t>Kelso Symposium, Rutgers Center for the Study of Employee Ownership, New Brunswick, NJ</w:t>
      </w:r>
    </w:p>
    <w:p w14:paraId="3CA66BD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10/2025  </w:t>
      </w:r>
      <w:r>
        <w:rPr>
          <w:rFonts w:ascii="Garamond" w:hAnsi="Garamond"/>
          <w:color w:val="000000" w:themeColor="text1"/>
        </w:rPr>
        <w:t>Israel and the Regional Economy, Harvard Business School, Cambridge, MA (invited plenary)</w:t>
      </w:r>
    </w:p>
    <w:p w14:paraId="5783E63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06/2025  </w:t>
      </w:r>
      <w:r>
        <w:rPr>
          <w:rFonts w:ascii="Garamond" w:hAnsi="Garamond"/>
          <w:color w:val="000000" w:themeColor="text1"/>
        </w:rPr>
        <w:t>Future of Equity Symposium, Palo Alto, CA</w:t>
      </w:r>
    </w:p>
    <w:p w14:paraId="7A24381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09/2024  </w:t>
      </w:r>
      <w:r>
        <w:rPr>
          <w:rFonts w:ascii="Garamond" w:hAnsi="Garamond"/>
          <w:color w:val="000000" w:themeColor="text1"/>
        </w:rPr>
        <w:t>Law and Entrepreneurship Association (LEA) Retreat, San Francisco, CA</w:t>
      </w:r>
    </w:p>
    <w:p w14:paraId="5A883E84" w14:textId="04DE8D9F"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08/2024  </w:t>
      </w:r>
      <w:r>
        <w:rPr>
          <w:rFonts w:ascii="Garamond" w:hAnsi="Garamond"/>
          <w:color w:val="000000" w:themeColor="text1"/>
        </w:rPr>
        <w:t xml:space="preserve">Second Annual Rutgers-Oxford (Kellogg) Employee Ownership Conference, Oxford, UK </w:t>
      </w:r>
    </w:p>
    <w:p w14:paraId="37D3335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03/2024  </w:t>
      </w:r>
      <w:r>
        <w:rPr>
          <w:rFonts w:ascii="Garamond" w:hAnsi="Garamond"/>
          <w:color w:val="000000" w:themeColor="text1"/>
        </w:rPr>
        <w:t>Tech, Innovation, Banking, and the Future of Venture Capital, University of Illinois</w:t>
      </w:r>
    </w:p>
    <w:p w14:paraId="3C651481"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10/2023  </w:t>
      </w:r>
      <w:r>
        <w:rPr>
          <w:rFonts w:ascii="Garamond" w:hAnsi="Garamond"/>
          <w:color w:val="000000" w:themeColor="text1"/>
        </w:rPr>
        <w:t>Symposium on the Research Handbook on PE/VC, Vanderbilt University (invited plenary)</w:t>
      </w:r>
    </w:p>
    <w:p w14:paraId="0CD05D6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10/2023  </w:t>
      </w:r>
      <w:r>
        <w:rPr>
          <w:rFonts w:ascii="Garamond" w:hAnsi="Garamond"/>
          <w:color w:val="000000" w:themeColor="text1"/>
        </w:rPr>
        <w:t>Law and Entrepreneurship Association (LEA) Retreat, Vanderbilt University</w:t>
      </w:r>
    </w:p>
    <w:p w14:paraId="5A0B000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07/2023  </w:t>
      </w:r>
      <w:r>
        <w:rPr>
          <w:rFonts w:ascii="Garamond" w:hAnsi="Garamond"/>
          <w:color w:val="000000" w:themeColor="text1"/>
        </w:rPr>
        <w:t xml:space="preserve">15th Annual Columbia-Ono Corporate Law &amp; Governance Conference, Ono Academic College (invited plenary speaker)</w:t>
      </w:r>
    </w:p>
    <w:p w14:paraId="309CD9C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06/2023  </w:t>
      </w:r>
      <w:r>
        <w:rPr>
          <w:rFonts w:ascii="Garamond" w:hAnsi="Garamond"/>
          <w:color w:val="000000" w:themeColor="text1"/>
        </w:rPr>
        <w:t>The Law and Finance of Private Equity &amp; Venture Capital (ECGI), University of Oxford</w:t>
      </w:r>
    </w:p>
    <w:p w14:paraId="41655742" w14:textId="77777777" w:rsidR="00445B3A" w:rsidRPr="000B4497" w:rsidRDefault="00000000">
      <w:pPr>
        <w:spacing w:after="50"/>
        <w:rPr>
          <w:rFonts w:ascii="Garamond" w:hAnsi="Garamond"/>
          <w:color w:val="000000" w:themeColor="text1"/>
        </w:rPr>
      </w:pPr>
      <w:r>
        <w:rPr>
          <w:rFonts w:ascii="Garamond" w:hAnsi="Garamond"/>
          <w:b/>
          <w:bCs/>
          <w:color w:val="000000" w:themeColor="text1"/>
        </w:rPr>
        <w:t xml:space="preserve">01/2023  </w:t>
      </w:r>
      <w:r w:rsidRPr="000B4497">
        <w:rPr>
          <w:rFonts w:ascii="Garamond" w:hAnsi="Garamond"/>
          <w:color w:val="000000" w:themeColor="text1"/>
        </w:rPr>
        <w:t>Kelso Symposium, Rutgers Center for the Study of Employee Ownership, New Brunswick, NJ</w:t>
      </w:r>
    </w:p>
    <w:p w14:paraId="5A0B0003"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01/2023  </w:t>
      </w:r>
      <w:r>
        <w:rPr>
          <w:rFonts w:ascii="Garamond" w:hAnsi="Garamond"/>
          <w:color w:val="000000" w:themeColor="text1"/>
        </w:rPr>
        <w:t xml:space="preserve">Controlling Shareholders, Control Enhancing Mechanisms and Corporate Governance, Tel Aviv (invited speaker)</w:t>
      </w:r>
    </w:p>
    <w:p w14:paraId="2AB972D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10/2022  </w:t>
      </w:r>
      <w:r>
        <w:rPr>
          <w:rFonts w:ascii="Garamond" w:hAnsi="Garamond"/>
          <w:color w:val="000000" w:themeColor="text1"/>
        </w:rPr>
        <w:t>Law and Entrepreneurship Association (LEA) Retreat, University of Pennsylvania</w:t>
      </w:r>
    </w:p>
    <w:p w14:paraId="418F1F8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07/2022  </w:t>
      </w:r>
      <w:r>
        <w:rPr>
          <w:rFonts w:ascii="Garamond" w:hAnsi="Garamond"/>
          <w:color w:val="000000" w:themeColor="text1"/>
        </w:rPr>
        <w:t>Women in Law and Finance Workshop, Goethe University Frankfurt (invited plenary)</w:t>
      </w:r>
    </w:p>
    <w:p w14:paraId="0C5C074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06/2022  </w:t>
      </w:r>
      <w:r>
        <w:rPr>
          <w:rFonts w:ascii="Garamond" w:hAnsi="Garamond"/>
          <w:color w:val="000000" w:themeColor="text1"/>
        </w:rPr>
        <w:t>VC/PE Conference (ECGI), LawFin Center, Goethe University Frankfurt (invited plenary)</w:t>
      </w:r>
    </w:p>
    <w:p w14:paraId="67D1622E" w14:textId="77777777" w:rsidR="00445B3A" w:rsidRPr="000B4497" w:rsidRDefault="00000000">
      <w:pPr>
        <w:spacing w:after="50"/>
        <w:rPr>
          <w:rFonts w:ascii="Garamond" w:hAnsi="Garamond"/>
          <w:color w:val="000000" w:themeColor="text1"/>
        </w:rPr>
      </w:pPr>
      <w:r>
        <w:rPr>
          <w:rFonts w:ascii="Garamond" w:hAnsi="Garamond"/>
          <w:b/>
          <w:bCs/>
          <w:color w:val="000000" w:themeColor="text1"/>
        </w:rPr>
        <w:t xml:space="preserve">06/2022  </w:t>
      </w:r>
      <w:r w:rsidRPr="000B4497">
        <w:rPr>
          <w:rFonts w:ascii="Garamond" w:hAnsi="Garamond"/>
          <w:color w:val="000000" w:themeColor="text1"/>
        </w:rPr>
        <w:t>Beyster Symposium, Rutgers Center for the Study of Employee Ownership, San Diego, CA</w:t>
      </w:r>
    </w:p>
    <w:p w14:paraId="27781C3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03/2022  </w:t>
      </w:r>
      <w:r>
        <w:rPr>
          <w:rFonts w:ascii="Garamond" w:hAnsi="Garamond"/>
          <w:color w:val="000000" w:themeColor="text1"/>
        </w:rPr>
        <w:t>Conference on Empirical Legal Studies (CELS)</w:t>
      </w:r>
    </w:p>
    <w:p w14:paraId="5A0B000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05/2021  </w:t>
      </w:r>
      <w:r>
        <w:rPr>
          <w:rFonts w:ascii="Garamond" w:hAnsi="Garamond"/>
          <w:color w:val="000000" w:themeColor="text1"/>
        </w:rPr>
        <w:t xml:space="preserve">Behavioral Ethics Meets Corporate Governance, Jerusalem (invited plenary speaker, moderator)</w:t>
      </w:r>
    </w:p>
    <w:p w14:paraId="5A0B000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01/2021  </w:t>
      </w:r>
      <w:r>
        <w:rPr>
          <w:rFonts w:ascii="Garamond" w:hAnsi="Garamond"/>
          <w:color w:val="000000" w:themeColor="text1"/>
        </w:rPr>
        <w:t xml:space="preserve">A Decade to the Economic Court (invited plenary speaker)</w:t>
      </w:r>
    </w:p>
    <w:p w14:paraId="45DF4FF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09/2020  </w:t>
      </w:r>
      <w:r>
        <w:rPr>
          <w:rFonts w:ascii="Garamond" w:hAnsi="Garamond"/>
          <w:color w:val="000000" w:themeColor="text1"/>
        </w:rPr>
        <w:t>Perspectives on Cutting-Edge Issues in VC &amp; PE, ABA Business Law Section (invited plenary)</w:t>
      </w:r>
    </w:p>
    <w:p w14:paraId="230B4C03"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Selected Seminar &amp; Colloquium Talks</w:t>
      </w:r>
    </w:p>
    <w:p w14:paraId="5A0B000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2026  </w:t>
      </w:r>
      <w:r>
        <w:rPr>
          <w:rFonts w:ascii="Garamond" w:hAnsi="Garamond"/>
          <w:color w:val="000000" w:themeColor="text1"/>
        </w:rPr>
        <w:t xml:space="preserve">Departmental Seminar, School of Economics, University of Haifa</w:t>
      </w:r>
    </w:p>
    <w:p w14:paraId="1DA55E9A"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High Tech Law Seminar, The Hebrew University of Jerusalem</w:t>
      </w:r>
    </w:p>
    <w:p w14:paraId="0142A62D" w14:textId="317AC08A" w:rsidR="003D0CBE" w:rsidRPr="003D0CBE" w:rsidRDefault="00000000" w:rsidP="008C78BB">
      <w:pPr>
        <w:spacing w:after="50"/>
        <w:rPr>
          <w:rFonts w:ascii="Garamond" w:hAnsi="Garamond"/>
          <w:color w:val="000000" w:themeColor="text1"/>
        </w:rPr>
      </w:pPr>
      <w:r w:rsidRPr="003D0CBE">
        <w:rPr>
          <w:rFonts w:ascii="Garamond" w:hAnsi="Garamond"/>
          <w:b/>
          <w:bCs/>
          <w:color w:val="000000" w:themeColor="text1"/>
        </w:rPr>
        <w:t>2025</w:t>
      </w:r>
      <w:r w:rsidRPr="003D0CBE">
        <w:rPr>
          <w:rFonts w:ascii="Garamond" w:hAnsi="Garamond"/>
          <w:color w:val="000000" w:themeColor="text1"/>
        </w:rPr>
        <w:t xml:space="preserve">  Advanced Issues in Corporate Governance Seminar, Reichman University</w:t>
      </w:r>
    </w:p>
    <w:p w14:paraId="036FD90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Law &amp; Economics Workshop, Tel Aviv University</w:t>
      </w:r>
    </w:p>
    <w:p w14:paraId="66B06B6E"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2024</w:t>
      </w:r>
      <w:r w:rsidRPr="003D0CBE">
        <w:rPr>
          <w:rFonts w:ascii="Garamond" w:hAnsi="Garamond"/>
          <w:color w:val="000000" w:themeColor="text1"/>
        </w:rPr>
        <w:t xml:space="preserve">  Entrepreneurial Unit Faculty Seminar, Harvard Business School</w:t>
      </w:r>
    </w:p>
    <w:p w14:paraId="19164A4F"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2024</w:t>
      </w:r>
      <w:r w:rsidRPr="003D0CBE">
        <w:rPr>
          <w:rFonts w:ascii="Garamond" w:hAnsi="Garamond"/>
          <w:color w:val="000000" w:themeColor="text1"/>
        </w:rPr>
        <w:t xml:space="preserve">  Advanced Issues in Corporate Governance Seminar, Reichman University</w:t>
      </w:r>
    </w:p>
    <w:p w14:paraId="3E4E4D5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  </w:t>
      </w:r>
      <w:r>
        <w:rPr>
          <w:rFonts w:ascii="Garamond" w:hAnsi="Garamond"/>
          <w:color w:val="000000" w:themeColor="text1"/>
        </w:rPr>
        <w:t>Faculty Seminar, Adelson School of Entrepreneurship, Reichman University</w:t>
      </w:r>
    </w:p>
    <w:p w14:paraId="44EC74E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  </w:t>
      </w:r>
      <w:r>
        <w:rPr>
          <w:rFonts w:ascii="Garamond" w:hAnsi="Garamond"/>
          <w:color w:val="000000" w:themeColor="text1"/>
        </w:rPr>
        <w:t>Faculty Seminar, Radzyner Law School, Reichman University</w:t>
      </w:r>
    </w:p>
    <w:p w14:paraId="072D6908"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2023</w:t>
      </w:r>
      <w:r w:rsidRPr="003D0CBE">
        <w:rPr>
          <w:rFonts w:ascii="Garamond" w:hAnsi="Garamond"/>
          <w:color w:val="000000" w:themeColor="text1"/>
        </w:rPr>
        <w:t xml:space="preserve">  Advanced Issues in Corporate Governance Seminar, Reichman University</w:t>
      </w:r>
    </w:p>
    <w:p w14:paraId="74606310"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  </w:t>
      </w:r>
      <w:r>
        <w:rPr>
          <w:rFonts w:ascii="Garamond" w:hAnsi="Garamond"/>
          <w:color w:val="000000" w:themeColor="text1"/>
        </w:rPr>
        <w:t>Law and Entrepreneurship Seminar, The Hebrew University of Jerusalem</w:t>
      </w:r>
    </w:p>
    <w:p w14:paraId="006155CD"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2022</w:t>
      </w:r>
      <w:r w:rsidRPr="003D0CBE">
        <w:rPr>
          <w:rFonts w:ascii="Garamond" w:hAnsi="Garamond"/>
          <w:color w:val="000000" w:themeColor="text1"/>
        </w:rPr>
        <w:t xml:space="preserve">  Law and Economics Seminar for MBAs, Reichman University</w:t>
      </w:r>
    </w:p>
    <w:p w14:paraId="74231173"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2022</w:t>
      </w:r>
      <w:r w:rsidRPr="003D0CBE">
        <w:rPr>
          <w:rFonts w:ascii="Garamond" w:hAnsi="Garamond"/>
          <w:color w:val="000000" w:themeColor="text1"/>
        </w:rPr>
        <w:t xml:space="preserve">  Advanced Issues in Corporate Governance Seminar, The Hebrew University of Jerusalem</w:t>
      </w:r>
    </w:p>
    <w:p w14:paraId="5CF9C0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  </w:t>
      </w:r>
      <w:r>
        <w:rPr>
          <w:rFonts w:ascii="Garamond" w:hAnsi="Garamond"/>
          <w:color w:val="000000" w:themeColor="text1"/>
        </w:rPr>
        <w:t>Private Law Workshop, The Hebrew University of Jerusalem</w:t>
      </w:r>
    </w:p>
    <w:p w14:paraId="3125580A"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2021</w:t>
      </w:r>
      <w:r w:rsidRPr="003D0CBE">
        <w:rPr>
          <w:rFonts w:ascii="Garamond" w:hAnsi="Garamond"/>
          <w:color w:val="000000" w:themeColor="text1"/>
        </w:rPr>
        <w:t xml:space="preserve">  Law and Economics Seminar for MBAs, Reichman University</w:t>
      </w:r>
    </w:p>
    <w:p w14:paraId="5A0B000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2021  </w:t>
      </w:r>
      <w:r>
        <w:rPr>
          <w:rFonts w:ascii="Garamond" w:hAnsi="Garamond"/>
          <w:color w:val="000000" w:themeColor="text1"/>
        </w:rPr>
        <w:t xml:space="preserve">Applied Economics Seminar, Tiomkin School of Economics, Reichman University</w:t>
      </w:r>
    </w:p>
    <w:p w14:paraId="30C556F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2020  </w:t>
      </w:r>
      <w:r>
        <w:rPr>
          <w:rFonts w:ascii="Garamond" w:hAnsi="Garamond"/>
          <w:color w:val="000000" w:themeColor="text1"/>
        </w:rPr>
        <w:t>Law, Economics, and Accounting Workshop, UC Berkeley Law School</w:t>
      </w:r>
    </w:p>
    <w:p w14:paraId="6C2B07DE" w14:textId="06997734" w:rsidR="00445B3A" w:rsidRPr="00485ACE" w:rsidRDefault="00000000">
      <w:pPr>
        <w:pStyle w:val="Heading1"/>
        <w:keepNext/>
        <w:keepLines/>
        <w:rPr>
          <w:rFonts w:ascii="Garamond" w:hAnsi="Garamond"/>
          <w:color w:val="000000" w:themeColor="text1"/>
        </w:rPr>
      </w:pPr>
      <w:r>
        <w:rPr>
          <w:rFonts w:ascii="Garamond" w:hAnsi="Garamond"/>
          <w:color w:val="000000" w:themeColor="text1"/>
        </w:rPr>
        <w:lastRenderedPageBreak/>
        <w:t>SERVICE</w:t>
      </w:r>
    </w:p>
    <w:p w14:paraId="49D9CC41"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University Service</w:t>
      </w:r>
    </w:p>
    <w:p w14:paraId="437DB62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2024–present  </w:t>
      </w:r>
      <w:r>
        <w:rPr>
          <w:rFonts w:ascii="Garamond" w:hAnsi="Garamond"/>
          <w:color w:val="000000" w:themeColor="text1"/>
        </w:rPr>
        <w:t>Member, Law School Admissions Committee, University of Haifa</w:t>
      </w:r>
    </w:p>
    <w:p w14:paraId="48C1B62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2023–2025  </w:t>
      </w:r>
      <w:r>
        <w:rPr>
          <w:rFonts w:ascii="Garamond" w:hAnsi="Garamond"/>
          <w:color w:val="000000" w:themeColor="text1"/>
        </w:rPr>
        <w:t>Research Authority Council, University of Haifa</w:t>
      </w:r>
    </w:p>
    <w:p w14:paraId="4A75FB0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2023–2024  </w:t>
      </w:r>
      <w:r>
        <w:rPr>
          <w:rFonts w:ascii="Garamond" w:hAnsi="Garamond"/>
          <w:color w:val="000000" w:themeColor="text1"/>
        </w:rPr>
        <w:t>Faculty Seminar Coordinator, University of Haifa School of Law</w:t>
      </w:r>
    </w:p>
    <w:p w14:paraId="3AE1B07A" w14:textId="1405042A" w:rsidR="00A64C48" w:rsidRDefault="00000000" w:rsidP="004C3E53">
      <w:pPr>
        <w:spacing w:after="50"/>
        <w:rPr>
          <w:rFonts w:ascii="Garamond" w:hAnsi="Garamond"/>
          <w:color w:val="000000" w:themeColor="text1"/>
        </w:rPr>
      </w:pPr>
      <w:r>
        <w:rPr>
          <w:rFonts w:ascii="Garamond" w:hAnsi="Garamond"/>
          <w:b/>
          <w:bCs/>
          <w:color w:val="000000" w:themeColor="text1"/>
        </w:rPr>
        <w:t xml:space="preserve">2022–2024  </w:t>
      </w:r>
      <w:r>
        <w:rPr>
          <w:rFonts w:ascii="Garamond" w:hAnsi="Garamond"/>
          <w:color w:val="000000" w:themeColor="text1"/>
        </w:rPr>
        <w:t>Oversaw preparation of top candidates for Supreme Court and other competitive positions</w:t>
      </w:r>
    </w:p>
    <w:p w14:paraId="2B2BA42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2021–2024  </w:t>
      </w:r>
      <w:r>
        <w:rPr>
          <w:rFonts w:ascii="Garamond" w:hAnsi="Garamond"/>
          <w:color w:val="000000" w:themeColor="text1"/>
        </w:rPr>
        <w:t>Member of the Research Authority Council, University of Haifa School of Law</w:t>
      </w:r>
    </w:p>
    <w:p w14:paraId="43BDB007" w14:textId="36501FD3" w:rsidR="00445B3A" w:rsidRPr="00485ACE" w:rsidRDefault="00000000">
      <w:pPr>
        <w:pStyle w:val="Heading2"/>
        <w:keepNext/>
        <w:keepLines/>
        <w:rPr>
          <w:rFonts w:ascii="Garamond" w:hAnsi="Garamond"/>
          <w:color w:val="000000" w:themeColor="text1"/>
        </w:rPr>
      </w:pPr>
      <w:r>
        <w:rPr>
          <w:rFonts w:ascii="Garamond" w:hAnsi="Garamond"/>
          <w:color w:val="000000" w:themeColor="text1"/>
        </w:rPr>
        <w:t>Professional Service</w:t>
      </w:r>
    </w:p>
    <w:p w14:paraId="4BE6D119"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2025–present  </w:t>
      </w:r>
      <w:r>
        <w:rPr>
          <w:rFonts w:ascii="Garamond" w:hAnsi="Garamond"/>
          <w:color w:val="000000" w:themeColor="text1"/>
        </w:rPr>
        <w:t>Fellow, Institute for the Study of Employee Ownership and Profit Sharing, Rutgers University</w:t>
      </w:r>
    </w:p>
    <w:p w14:paraId="09D5032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2024–present  </w:t>
      </w:r>
      <w:r>
        <w:rPr>
          <w:rFonts w:ascii="Garamond" w:hAnsi="Garamond"/>
          <w:color w:val="000000" w:themeColor="text1"/>
        </w:rPr>
        <w:t>Co-Chair, Employee Participation and Financial Ownership Award Committee, HR Division of the Academy of Management</w:t>
      </w:r>
    </w:p>
    <w:p w14:paraId="386827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Member, Global Equity Organization (GEO), Silicon Valley and Middle East branches</w:t>
      </w:r>
    </w:p>
    <w:p w14:paraId="70F0956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2023–present  </w:t>
      </w:r>
      <w:r>
        <w:rPr>
          <w:rFonts w:ascii="Garamond" w:hAnsi="Garamond"/>
          <w:color w:val="000000" w:themeColor="text1"/>
        </w:rPr>
        <w:t>Member, Steering Committee, Israeli Law and Economics Association (ILEA)</w:t>
      </w:r>
    </w:p>
    <w:p w14:paraId="47908E9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2022–2023  </w:t>
      </w:r>
      <w:r>
        <w:rPr>
          <w:rFonts w:ascii="Garamond" w:hAnsi="Garamond"/>
          <w:color w:val="000000" w:themeColor="text1"/>
        </w:rPr>
        <w:t>Fellow, Institute for Law and Finance (ILF), Goethe University Frankfurt</w:t>
      </w:r>
    </w:p>
    <w:p w14:paraId="58A185A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2021–present  </w:t>
      </w:r>
      <w:r>
        <w:rPr>
          <w:rFonts w:ascii="Garamond" w:hAnsi="Garamond"/>
          <w:color w:val="000000" w:themeColor="text1"/>
        </w:rPr>
        <w:t>Co-Founder and Co-Chair, “Chaverot” — Israeli Women in Business Law Forum</w:t>
      </w:r>
    </w:p>
    <w:p w14:paraId="6BA767E8" w14:textId="7F3C1574" w:rsidR="00791E87" w:rsidRDefault="00000000" w:rsidP="00A64C48">
      <w:pPr>
        <w:spacing w:after="50"/>
        <w:rPr>
          <w:rFonts w:ascii="Garamond" w:hAnsi="Garamond"/>
          <w:color w:val="000000" w:themeColor="text1"/>
        </w:rPr>
      </w:pPr>
      <w:r>
        <w:rPr>
          <w:rFonts w:ascii="Garamond" w:hAnsi="Garamond"/>
          <w:b/>
          <w:bCs/>
          <w:color w:val="000000" w:themeColor="text1"/>
        </w:rPr>
        <w:t xml:space="preserve">2015–2020  </w:t>
      </w:r>
      <w:r w:rsidRPr="003D0CBE">
        <w:rPr>
          <w:rFonts w:ascii="Garamond" w:hAnsi="Garamond"/>
          <w:color w:val="000000" w:themeColor="text1"/>
        </w:rPr>
        <w:t>Student Advisory Board Member, Arthur and Toni Rembe Rock Center for Corporate Governance, Stanford University</w:t>
      </w:r>
    </w:p>
    <w:p w14:paraId="378CAE27"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Conference Organization (Selected)</w:t>
      </w:r>
    </w:p>
    <w:p w14:paraId="2B01DC3F"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12/2025  </w:t>
      </w:r>
      <w:r>
        <w:rPr>
          <w:rFonts w:ascii="Garamond" w:hAnsi="Garamond"/>
          <w:color w:val="000000" w:themeColor="text1"/>
        </w:rPr>
        <w:t>ILEA Annual Conference 2025, Bar Ilan (Organizing Committee, Panel Chair, speaker)</w:t>
      </w:r>
    </w:p>
    <w:p w14:paraId="337912B7" w14:textId="77777777" w:rsidR="00445B3A" w:rsidRPr="008C78BB" w:rsidRDefault="00000000">
      <w:pPr>
        <w:spacing w:after="50"/>
        <w:rPr>
          <w:rFonts w:ascii="Garamond" w:hAnsi="Garamond"/>
          <w:color w:val="000000" w:themeColor="text1"/>
        </w:rPr>
      </w:pPr>
      <w:r>
        <w:rPr>
          <w:rFonts w:ascii="Garamond" w:hAnsi="Garamond"/>
          <w:b/>
          <w:bCs/>
          <w:color w:val="000000" w:themeColor="text1"/>
        </w:rPr>
        <w:t xml:space="preserve">12/2025  </w:t>
      </w:r>
      <w:r w:rsidRPr="008C78BB">
        <w:rPr>
          <w:rFonts w:ascii="Garamond" w:hAnsi="Garamond"/>
          <w:color w:val="000000" w:themeColor="text1"/>
        </w:rPr>
        <w:t>Financial Regulation in the Digital Age, University of Haifa (Panel Chair)</w:t>
      </w:r>
    </w:p>
    <w:p w14:paraId="016B1AB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12/2024  </w:t>
      </w:r>
      <w:r>
        <w:rPr>
          <w:rFonts w:ascii="Garamond" w:hAnsi="Garamond"/>
          <w:color w:val="000000" w:themeColor="text1"/>
        </w:rPr>
        <w:t>Between Market and Ideology: The Past and Future of Intellectual Property, Haifa (Organizer)</w:t>
      </w:r>
    </w:p>
    <w:p w14:paraId="04EC3F9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07/2024  </w:t>
      </w:r>
      <w:r>
        <w:rPr>
          <w:rFonts w:ascii="Garamond" w:hAnsi="Garamond"/>
          <w:color w:val="000000" w:themeColor="text1"/>
        </w:rPr>
        <w:t>Law and Policy for NFTs, University of Haifa (Organizing Committee)</w:t>
      </w:r>
    </w:p>
    <w:p w14:paraId="765123C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06/2024  </w:t>
      </w:r>
      <w:r>
        <w:rPr>
          <w:rFonts w:ascii="Garamond" w:hAnsi="Garamond"/>
          <w:color w:val="000000" w:themeColor="text1"/>
        </w:rPr>
        <w:t>ILEA Annual Conference, The Hebrew University (Organizer, Steering Committee)</w:t>
      </w:r>
    </w:p>
    <w:p w14:paraId="21D77CE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06/2024  </w:t>
      </w:r>
      <w:r>
        <w:rPr>
          <w:rFonts w:ascii="Garamond" w:hAnsi="Garamond"/>
          <w:color w:val="000000" w:themeColor="text1"/>
        </w:rPr>
        <w:t>Chaverot Forum 2024, Reichman University (Co-Organizer)</w:t>
      </w:r>
    </w:p>
    <w:p w14:paraId="62DF6AB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05/2024  </w:t>
      </w:r>
      <w:r>
        <w:rPr>
          <w:rFonts w:ascii="Garamond" w:hAnsi="Garamond"/>
          <w:color w:val="000000" w:themeColor="text1"/>
        </w:rPr>
        <w:t>Investing for All: The Past and Future of Investment Crowdfunding, University of Haifa (Organizer)</w:t>
      </w:r>
    </w:p>
    <w:p w14:paraId="7E1209B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05/2023  </w:t>
      </w:r>
      <w:r w:rsidRPr="00EA144D">
        <w:rPr>
          <w:rFonts w:ascii="Garamond" w:hAnsi="Garamond"/>
          <w:color w:val="000000" w:themeColor="text1"/>
        </w:rPr>
        <w:t>Financial Regulation in the Digital Age, University of Haifa (Panel Chair)</w:t>
      </w:r>
    </w:p>
    <w:p w14:paraId="300E665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01/2023  </w:t>
      </w:r>
      <w:r>
        <w:rPr>
          <w:rFonts w:ascii="Garamond" w:hAnsi="Garamond"/>
          <w:color w:val="000000" w:themeColor="text1"/>
        </w:rPr>
        <w:t>The Crypto Crisis (Organizer, Panel Chair)</w:t>
      </w:r>
    </w:p>
    <w:p w14:paraId="150B87BA" w14:textId="77777777" w:rsidR="00445B3A" w:rsidRPr="00EA144D" w:rsidRDefault="00000000">
      <w:pPr>
        <w:spacing w:after="50"/>
        <w:rPr>
          <w:rFonts w:ascii="Garamond" w:hAnsi="Garamond"/>
          <w:color w:val="000000" w:themeColor="text1"/>
        </w:rPr>
      </w:pPr>
      <w:r>
        <w:rPr>
          <w:rFonts w:ascii="Garamond" w:hAnsi="Garamond"/>
          <w:b/>
          <w:bCs/>
          <w:color w:val="000000" w:themeColor="text1"/>
        </w:rPr>
        <w:t xml:space="preserve">01/2023  </w:t>
      </w:r>
      <w:r w:rsidRPr="00EA144D">
        <w:rPr>
          <w:rFonts w:ascii="Garamond" w:hAnsi="Garamond"/>
          <w:color w:val="000000" w:themeColor="text1"/>
        </w:rPr>
        <w:t>Chaverot Forum 2023, College of Management (Organizing Committee)</w:t>
      </w:r>
    </w:p>
    <w:p w14:paraId="7662A0B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03/2022  </w:t>
      </w:r>
      <w:r w:rsidRPr="00EA144D">
        <w:rPr>
          <w:rFonts w:ascii="Garamond" w:hAnsi="Garamond"/>
          <w:color w:val="000000" w:themeColor="text1"/>
        </w:rPr>
        <w:t>Chaverot Forum 2022, Herzliya (Organized a session)</w:t>
      </w:r>
    </w:p>
    <w:p w14:paraId="40BD7F60"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07/2021  </w:t>
      </w:r>
      <w:r w:rsidRPr="00EA144D">
        <w:rPr>
          <w:rFonts w:ascii="Garamond" w:hAnsi="Garamond"/>
          <w:color w:val="000000" w:themeColor="text1"/>
        </w:rPr>
        <w:t>Chaverot Workshop 2021, Herzliya (Organizing Committee)</w:t>
      </w:r>
    </w:p>
    <w:p w14:paraId="40CC645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06/2021  </w:t>
      </w:r>
      <w:r w:rsidRPr="00EA144D">
        <w:rPr>
          <w:rFonts w:ascii="Garamond" w:hAnsi="Garamond"/>
          <w:color w:val="000000" w:themeColor="text1"/>
        </w:rPr>
        <w:t>Chaverot Forum 2021 Launch Event, Herzliya (Organizer, Steering Committee)</w:t>
      </w:r>
    </w:p>
    <w:p w14:paraId="7C32F921"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02/2021  </w:t>
      </w:r>
      <w:r>
        <w:rPr>
          <w:rFonts w:ascii="Garamond" w:hAnsi="Garamond"/>
          <w:color w:val="000000" w:themeColor="text1"/>
        </w:rPr>
        <w:t>GameStop and its Consequences (Organizer, Panelist)</w:t>
      </w:r>
    </w:p>
    <w:p w14:paraId="1B2A3906"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GRADUATE SUPERVISION</w:t>
      </w:r>
    </w:p>
    <w:p w14:paraId="3DDA48F6"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Yasmin Yakove, LLM thesis: Startup Insolvency (2026, in progress)</w:t>
      </w:r>
    </w:p>
    <w:sectPr w:rsidR="00445B3A" w:rsidRPr="00485ACE">
      <w:headerReference w:type="default" r:id="rId9"/>
      <w:footerReference w:type="default" r:id="rId10"/>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6E714" w14:textId="77777777" w:rsidR="006C75CD" w:rsidRDefault="006C75CD">
      <w:r>
        <w:separator/>
      </w:r>
    </w:p>
  </w:endnote>
  <w:endnote w:type="continuationSeparator" w:id="0">
    <w:p w14:paraId="505F2209" w14:textId="77777777" w:rsidR="006C75CD" w:rsidRDefault="006C7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1B6C" w14:textId="77777777" w:rsidR="00445B3A"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485ACE">
      <w:rPr>
        <w:noProof/>
        <w:color w:val="888888"/>
        <w:sz w:val="18"/>
        <w:szCs w:val="18"/>
      </w:rPr>
      <w:t>1</w:t>
    </w:r>
    <w:r>
      <w:rPr>
        <w:color w:val="888888"/>
        <w:sz w:val="18"/>
        <w:szCs w:val="18"/>
      </w:rPr>
      <w:fldChar w:fldCharType="end"/>
    </w:r>
    <w:r>
      <w:rPr>
        <w:color w:val="888888"/>
        <w:sz w:val="18"/>
        <w:szCs w:val="18"/>
      </w:rPr>
      <w:t xml:space="preserve"> </w:t>
    </w:r>
    <w:r>
      <w:rPr>
        <w:color w:val="888888"/>
        <w:sz w:val="18"/>
        <w:szCs w:val="18"/>
      </w:rPr>
      <w:t xml:space="preserve">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85AC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5BA1B" w14:textId="77777777" w:rsidR="006C75CD" w:rsidRDefault="006C75CD">
      <w:r>
        <w:separator/>
      </w:r>
    </w:p>
  </w:footnote>
  <w:footnote w:type="continuationSeparator" w:id="0">
    <w:p w14:paraId="0C8C7E0D" w14:textId="77777777" w:rsidR="006C75CD" w:rsidRDefault="006C7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787" w14:textId="77777777" w:rsidR="00445B3A" w:rsidRDefault="00000000">
    <w:pPr>
      <w:jc w:val="right"/>
    </w:pPr>
    <w:r>
      <w:rPr>
        <w:i/>
        <w:iCs/>
        <w:color w:val="888888"/>
        <w:sz w:val="18"/>
        <w:szCs w:val="18"/>
      </w:rPr>
      <w:t>Yifat Aran — 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70F"/>
    <w:multiLevelType w:val="hybridMultilevel"/>
    <w:tmpl w:val="89ECA2DE"/>
    <w:lvl w:ilvl="0" w:tplc="2000000F">
      <w:start w:val="1"/>
      <w:numFmt w:val="decimal"/>
      <w:lvlText w:val="%1."/>
      <w:lvlJc w:val="left"/>
      <w:pPr>
        <w:ind w:left="360" w:hanging="360"/>
      </w:pPr>
      <w:rPr>
        <w:rFonts w:hint="default"/>
        <w:sz w:val="20"/>
        <w:szCs w:val="2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E97E69"/>
    <w:multiLevelType w:val="hybridMultilevel"/>
    <w:tmpl w:val="B394D982"/>
    <w:lvl w:ilvl="0" w:tplc="C84461F4">
      <w:start w:val="1"/>
      <w:numFmt w:val="bullet"/>
      <w:lvlText w:val="•"/>
      <w:lvlJc w:val="left"/>
      <w:pPr>
        <w:ind w:left="720" w:hanging="360"/>
      </w:pPr>
    </w:lvl>
    <w:lvl w:ilvl="1" w:tplc="27900B94">
      <w:numFmt w:val="decimal"/>
      <w:lvlText w:val=""/>
      <w:lvlJc w:val="left"/>
    </w:lvl>
    <w:lvl w:ilvl="2" w:tplc="79EE4470">
      <w:numFmt w:val="decimal"/>
      <w:lvlText w:val=""/>
      <w:lvlJc w:val="left"/>
    </w:lvl>
    <w:lvl w:ilvl="3" w:tplc="E13C3D08">
      <w:numFmt w:val="decimal"/>
      <w:lvlText w:val=""/>
      <w:lvlJc w:val="left"/>
    </w:lvl>
    <w:lvl w:ilvl="4" w:tplc="F0988662">
      <w:numFmt w:val="decimal"/>
      <w:lvlText w:val=""/>
      <w:lvlJc w:val="left"/>
    </w:lvl>
    <w:lvl w:ilvl="5" w:tplc="DF30C610">
      <w:numFmt w:val="decimal"/>
      <w:lvlText w:val=""/>
      <w:lvlJc w:val="left"/>
    </w:lvl>
    <w:lvl w:ilvl="6" w:tplc="0F2ED70E">
      <w:numFmt w:val="decimal"/>
      <w:lvlText w:val=""/>
      <w:lvlJc w:val="left"/>
    </w:lvl>
    <w:lvl w:ilvl="7" w:tplc="D86E7AC0">
      <w:numFmt w:val="decimal"/>
      <w:lvlText w:val=""/>
      <w:lvlJc w:val="left"/>
    </w:lvl>
    <w:lvl w:ilvl="8" w:tplc="765C46CA">
      <w:numFmt w:val="decimal"/>
      <w:lvlText w:val=""/>
      <w:lvlJc w:val="left"/>
    </w:lvl>
  </w:abstractNum>
  <w:abstractNum w:abstractNumId="2" w15:restartNumberingAfterBreak="0">
    <w:nsid w:val="200464C9"/>
    <w:multiLevelType w:val="hybridMultilevel"/>
    <w:tmpl w:val="944A4792"/>
    <w:lvl w:ilvl="0" w:tplc="162605A4">
      <w:start w:val="1"/>
      <w:numFmt w:val="decimal"/>
      <w:lvlText w:val="%1."/>
      <w:lvlJc w:val="left"/>
      <w:pPr>
        <w:ind w:left="360" w:hanging="360"/>
      </w:pPr>
    </w:lvl>
    <w:lvl w:ilvl="1" w:tplc="A04AA608">
      <w:numFmt w:val="decimal"/>
      <w:lvlText w:val=""/>
      <w:lvlJc w:val="left"/>
    </w:lvl>
    <w:lvl w:ilvl="2" w:tplc="FF1A4D78">
      <w:numFmt w:val="decimal"/>
      <w:lvlText w:val=""/>
      <w:lvlJc w:val="left"/>
    </w:lvl>
    <w:lvl w:ilvl="3" w:tplc="83E8E780">
      <w:numFmt w:val="decimal"/>
      <w:lvlText w:val=""/>
      <w:lvlJc w:val="left"/>
    </w:lvl>
    <w:lvl w:ilvl="4" w:tplc="C55CD8D0">
      <w:numFmt w:val="decimal"/>
      <w:lvlText w:val=""/>
      <w:lvlJc w:val="left"/>
    </w:lvl>
    <w:lvl w:ilvl="5" w:tplc="647A273A">
      <w:numFmt w:val="decimal"/>
      <w:lvlText w:val=""/>
      <w:lvlJc w:val="left"/>
    </w:lvl>
    <w:lvl w:ilvl="6" w:tplc="66321252">
      <w:numFmt w:val="decimal"/>
      <w:lvlText w:val=""/>
      <w:lvlJc w:val="left"/>
    </w:lvl>
    <w:lvl w:ilvl="7" w:tplc="254E7BA8">
      <w:numFmt w:val="decimal"/>
      <w:lvlText w:val=""/>
      <w:lvlJc w:val="left"/>
    </w:lvl>
    <w:lvl w:ilvl="8" w:tplc="446C2DD6">
      <w:numFmt w:val="decimal"/>
      <w:lvlText w:val=""/>
      <w:lvlJc w:val="left"/>
    </w:lvl>
  </w:abstractNum>
  <w:abstractNum w:abstractNumId="3" w15:restartNumberingAfterBreak="0">
    <w:nsid w:val="28F738EE"/>
    <w:multiLevelType w:val="hybridMultilevel"/>
    <w:tmpl w:val="94F276D6"/>
    <w:lvl w:ilvl="0" w:tplc="8F9838D0">
      <w:start w:val="1"/>
      <w:numFmt w:val="decimal"/>
      <w:lvlText w:val="%1."/>
      <w:lvlJc w:val="left"/>
      <w:pPr>
        <w:ind w:left="360" w:hanging="360"/>
      </w:pPr>
    </w:lvl>
    <w:lvl w:ilvl="1" w:tplc="FF6EADE2">
      <w:numFmt w:val="decimal"/>
      <w:lvlText w:val=""/>
      <w:lvlJc w:val="left"/>
    </w:lvl>
    <w:lvl w:ilvl="2" w:tplc="4B4C27C2">
      <w:numFmt w:val="decimal"/>
      <w:lvlText w:val=""/>
      <w:lvlJc w:val="left"/>
    </w:lvl>
    <w:lvl w:ilvl="3" w:tplc="95DE0300">
      <w:numFmt w:val="decimal"/>
      <w:lvlText w:val=""/>
      <w:lvlJc w:val="left"/>
    </w:lvl>
    <w:lvl w:ilvl="4" w:tplc="585C1C62">
      <w:numFmt w:val="decimal"/>
      <w:lvlText w:val=""/>
      <w:lvlJc w:val="left"/>
    </w:lvl>
    <w:lvl w:ilvl="5" w:tplc="419A30A4">
      <w:numFmt w:val="decimal"/>
      <w:lvlText w:val=""/>
      <w:lvlJc w:val="left"/>
    </w:lvl>
    <w:lvl w:ilvl="6" w:tplc="81FC00AE">
      <w:numFmt w:val="decimal"/>
      <w:lvlText w:val=""/>
      <w:lvlJc w:val="left"/>
    </w:lvl>
    <w:lvl w:ilvl="7" w:tplc="8DD4797E">
      <w:numFmt w:val="decimal"/>
      <w:lvlText w:val=""/>
      <w:lvlJc w:val="left"/>
    </w:lvl>
    <w:lvl w:ilvl="8" w:tplc="5F36FF02">
      <w:numFmt w:val="decimal"/>
      <w:lvlText w:val=""/>
      <w:lvlJc w:val="left"/>
    </w:lvl>
  </w:abstractNum>
  <w:abstractNum w:abstractNumId="4" w15:restartNumberingAfterBreak="0">
    <w:nsid w:val="415F14A5"/>
    <w:multiLevelType w:val="hybridMultilevel"/>
    <w:tmpl w:val="89ECA2DE"/>
    <w:lvl w:ilvl="0" w:tplc="FFFFFFFF">
      <w:start w:val="1"/>
      <w:numFmt w:val="decimal"/>
      <w:lvlText w:val="%1."/>
      <w:lvlJc w:val="left"/>
      <w:pPr>
        <w:ind w:left="360" w:hanging="360"/>
      </w:pPr>
      <w:rPr>
        <w:rFonts w:hint="default"/>
        <w:sz w:val="20"/>
        <w:szCs w:val="20"/>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A9207BD"/>
    <w:multiLevelType w:val="hybridMultilevel"/>
    <w:tmpl w:val="5C84CCB2"/>
    <w:lvl w:ilvl="0" w:tplc="86D28D20">
      <w:start w:val="1"/>
      <w:numFmt w:val="decimal"/>
      <w:lvlText w:val="%1."/>
      <w:lvlJc w:val="left"/>
      <w:pPr>
        <w:ind w:left="360" w:hanging="360"/>
      </w:pPr>
      <w:rPr>
        <w:rFonts w:ascii="Garamond" w:hAnsi="Garamond" w:hint="default"/>
        <w:sz w:val="22"/>
        <w:szCs w:val="22"/>
      </w:rPr>
    </w:lvl>
    <w:lvl w:ilvl="1" w:tplc="EEE2F19A">
      <w:numFmt w:val="decimal"/>
      <w:lvlText w:val=""/>
      <w:lvlJc w:val="left"/>
    </w:lvl>
    <w:lvl w:ilvl="2" w:tplc="53CAEFE2">
      <w:numFmt w:val="decimal"/>
      <w:lvlText w:val=""/>
      <w:lvlJc w:val="left"/>
    </w:lvl>
    <w:lvl w:ilvl="3" w:tplc="3FCAA62A">
      <w:numFmt w:val="decimal"/>
      <w:lvlText w:val=""/>
      <w:lvlJc w:val="left"/>
    </w:lvl>
    <w:lvl w:ilvl="4" w:tplc="3432D882">
      <w:numFmt w:val="decimal"/>
      <w:lvlText w:val=""/>
      <w:lvlJc w:val="left"/>
    </w:lvl>
    <w:lvl w:ilvl="5" w:tplc="6C2896FC">
      <w:numFmt w:val="decimal"/>
      <w:lvlText w:val=""/>
      <w:lvlJc w:val="left"/>
    </w:lvl>
    <w:lvl w:ilvl="6" w:tplc="E7BCA7F2">
      <w:numFmt w:val="decimal"/>
      <w:lvlText w:val=""/>
      <w:lvlJc w:val="left"/>
    </w:lvl>
    <w:lvl w:ilvl="7" w:tplc="8C481622">
      <w:numFmt w:val="decimal"/>
      <w:lvlText w:val=""/>
      <w:lvlJc w:val="left"/>
    </w:lvl>
    <w:lvl w:ilvl="8" w:tplc="67AC9D74">
      <w:numFmt w:val="decimal"/>
      <w:lvlText w:val=""/>
      <w:lvlJc w:val="left"/>
    </w:lvl>
  </w:abstractNum>
  <w:abstractNum w:abstractNumId="6" w15:restartNumberingAfterBreak="0">
    <w:nsid w:val="4CA52B1A"/>
    <w:multiLevelType w:val="hybridMultilevel"/>
    <w:tmpl w:val="8FC29C96"/>
    <w:lvl w:ilvl="0" w:tplc="D6A4EC0E">
      <w:start w:val="1"/>
      <w:numFmt w:val="bullet"/>
      <w:lvlText w:val="●"/>
      <w:lvlJc w:val="left"/>
      <w:pPr>
        <w:ind w:left="720" w:hanging="360"/>
      </w:pPr>
    </w:lvl>
    <w:lvl w:ilvl="1" w:tplc="60089510">
      <w:start w:val="1"/>
      <w:numFmt w:val="bullet"/>
      <w:lvlText w:val="○"/>
      <w:lvlJc w:val="left"/>
      <w:pPr>
        <w:ind w:left="1440" w:hanging="360"/>
      </w:pPr>
    </w:lvl>
    <w:lvl w:ilvl="2" w:tplc="EA6842E0">
      <w:start w:val="1"/>
      <w:numFmt w:val="bullet"/>
      <w:lvlText w:val="■"/>
      <w:lvlJc w:val="left"/>
      <w:pPr>
        <w:ind w:left="2160" w:hanging="360"/>
      </w:pPr>
    </w:lvl>
    <w:lvl w:ilvl="3" w:tplc="F236836E">
      <w:start w:val="1"/>
      <w:numFmt w:val="bullet"/>
      <w:lvlText w:val="●"/>
      <w:lvlJc w:val="left"/>
      <w:pPr>
        <w:ind w:left="2880" w:hanging="360"/>
      </w:pPr>
    </w:lvl>
    <w:lvl w:ilvl="4" w:tplc="8E2CA26A">
      <w:start w:val="1"/>
      <w:numFmt w:val="bullet"/>
      <w:lvlText w:val="○"/>
      <w:lvlJc w:val="left"/>
      <w:pPr>
        <w:ind w:left="3600" w:hanging="360"/>
      </w:pPr>
    </w:lvl>
    <w:lvl w:ilvl="5" w:tplc="69FC701A">
      <w:start w:val="1"/>
      <w:numFmt w:val="bullet"/>
      <w:lvlText w:val="■"/>
      <w:lvlJc w:val="left"/>
      <w:pPr>
        <w:ind w:left="4320" w:hanging="360"/>
      </w:pPr>
    </w:lvl>
    <w:lvl w:ilvl="6" w:tplc="0A9C795E">
      <w:start w:val="1"/>
      <w:numFmt w:val="bullet"/>
      <w:lvlText w:val="●"/>
      <w:lvlJc w:val="left"/>
      <w:pPr>
        <w:ind w:left="5040" w:hanging="360"/>
      </w:pPr>
    </w:lvl>
    <w:lvl w:ilvl="7" w:tplc="88408A9C">
      <w:start w:val="1"/>
      <w:numFmt w:val="bullet"/>
      <w:lvlText w:val="●"/>
      <w:lvlJc w:val="left"/>
      <w:pPr>
        <w:ind w:left="5760" w:hanging="360"/>
      </w:pPr>
    </w:lvl>
    <w:lvl w:ilvl="8" w:tplc="E6C23010">
      <w:start w:val="1"/>
      <w:numFmt w:val="bullet"/>
      <w:lvlText w:val="●"/>
      <w:lvlJc w:val="left"/>
      <w:pPr>
        <w:ind w:left="6480" w:hanging="360"/>
      </w:pPr>
    </w:lvl>
  </w:abstractNum>
  <w:abstractNum w:abstractNumId="7" w15:restartNumberingAfterBreak="0">
    <w:nsid w:val="6B0A1D48"/>
    <w:multiLevelType w:val="hybridMultilevel"/>
    <w:tmpl w:val="0C708D96"/>
    <w:lvl w:ilvl="0" w:tplc="3860078A">
      <w:start w:val="1"/>
      <w:numFmt w:val="decimal"/>
      <w:lvlText w:val="%1."/>
      <w:lvlJc w:val="left"/>
      <w:pPr>
        <w:ind w:left="360" w:hanging="360"/>
      </w:pPr>
    </w:lvl>
    <w:lvl w:ilvl="1" w:tplc="7C28A242">
      <w:numFmt w:val="decimal"/>
      <w:lvlText w:val=""/>
      <w:lvlJc w:val="left"/>
    </w:lvl>
    <w:lvl w:ilvl="2" w:tplc="5D3643A0">
      <w:numFmt w:val="decimal"/>
      <w:lvlText w:val=""/>
      <w:lvlJc w:val="left"/>
    </w:lvl>
    <w:lvl w:ilvl="3" w:tplc="A4A8480A">
      <w:numFmt w:val="decimal"/>
      <w:lvlText w:val=""/>
      <w:lvlJc w:val="left"/>
    </w:lvl>
    <w:lvl w:ilvl="4" w:tplc="3B34BAFE">
      <w:numFmt w:val="decimal"/>
      <w:lvlText w:val=""/>
      <w:lvlJc w:val="left"/>
    </w:lvl>
    <w:lvl w:ilvl="5" w:tplc="2E1EA4D6">
      <w:numFmt w:val="decimal"/>
      <w:lvlText w:val=""/>
      <w:lvlJc w:val="left"/>
    </w:lvl>
    <w:lvl w:ilvl="6" w:tplc="3CC0DC24">
      <w:numFmt w:val="decimal"/>
      <w:lvlText w:val=""/>
      <w:lvlJc w:val="left"/>
    </w:lvl>
    <w:lvl w:ilvl="7" w:tplc="F3607146">
      <w:numFmt w:val="decimal"/>
      <w:lvlText w:val=""/>
      <w:lvlJc w:val="left"/>
    </w:lvl>
    <w:lvl w:ilvl="8" w:tplc="2324A554">
      <w:numFmt w:val="decimal"/>
      <w:lvlText w:val=""/>
      <w:lvlJc w:val="left"/>
    </w:lvl>
  </w:abstractNum>
  <w:abstractNum w:abstractNumId="8" w15:restartNumberingAfterBreak="0">
    <w:nsid w:val="75870226"/>
    <w:multiLevelType w:val="hybridMultilevel"/>
    <w:tmpl w:val="3C90E428"/>
    <w:lvl w:ilvl="0" w:tplc="81144B0C">
      <w:start w:val="1"/>
      <w:numFmt w:val="decimal"/>
      <w:lvlText w:val="%1."/>
      <w:lvlJc w:val="left"/>
      <w:pPr>
        <w:ind w:left="360" w:hanging="360"/>
      </w:pPr>
    </w:lvl>
    <w:lvl w:ilvl="1" w:tplc="6B1EC078">
      <w:numFmt w:val="decimal"/>
      <w:lvlText w:val=""/>
      <w:lvlJc w:val="left"/>
    </w:lvl>
    <w:lvl w:ilvl="2" w:tplc="5016D526">
      <w:numFmt w:val="decimal"/>
      <w:lvlText w:val=""/>
      <w:lvlJc w:val="left"/>
    </w:lvl>
    <w:lvl w:ilvl="3" w:tplc="95EC0E04">
      <w:numFmt w:val="decimal"/>
      <w:lvlText w:val=""/>
      <w:lvlJc w:val="left"/>
    </w:lvl>
    <w:lvl w:ilvl="4" w:tplc="2848DE92">
      <w:numFmt w:val="decimal"/>
      <w:lvlText w:val=""/>
      <w:lvlJc w:val="left"/>
    </w:lvl>
    <w:lvl w:ilvl="5" w:tplc="48C63DDA">
      <w:numFmt w:val="decimal"/>
      <w:lvlText w:val=""/>
      <w:lvlJc w:val="left"/>
    </w:lvl>
    <w:lvl w:ilvl="6" w:tplc="25C07D98">
      <w:numFmt w:val="decimal"/>
      <w:lvlText w:val=""/>
      <w:lvlJc w:val="left"/>
    </w:lvl>
    <w:lvl w:ilvl="7" w:tplc="D69843D0">
      <w:numFmt w:val="decimal"/>
      <w:lvlText w:val=""/>
      <w:lvlJc w:val="left"/>
    </w:lvl>
    <w:lvl w:ilvl="8" w:tplc="D67AA252">
      <w:numFmt w:val="decimal"/>
      <w:lvlText w:val=""/>
      <w:lvlJc w:val="left"/>
    </w:lvl>
  </w:abstractNum>
  <w:num w:numId="1" w16cid:durableId="806313123">
    <w:abstractNumId w:val="6"/>
    <w:lvlOverride w:ilvl="0">
      <w:startOverride w:val="1"/>
    </w:lvlOverride>
  </w:num>
  <w:num w:numId="2" w16cid:durableId="1788113126">
    <w:abstractNumId w:val="5"/>
    <w:lvlOverride w:ilvl="0">
      <w:startOverride w:val="1"/>
    </w:lvlOverride>
  </w:num>
  <w:num w:numId="10" w16cid:durableId="1788113126">
    <w:abstractNumId w:val="5"/>
    <w:lvlOverride w:ilvl="0">
      <w:startOverride w:val="1"/>
    </w:lvlOverride>
  </w:num>
  <w:num w:numId="3" w16cid:durableId="1621640931">
    <w:abstractNumId w:val="7"/>
    <w:lvlOverride w:ilvl="0">
      <w:startOverride w:val="1"/>
    </w:lvlOverride>
  </w:num>
  <w:num w:numId="4" w16cid:durableId="200434217">
    <w:abstractNumId w:val="8"/>
    <w:lvlOverride w:ilvl="0">
      <w:startOverride w:val="1"/>
    </w:lvlOverride>
  </w:num>
  <w:num w:numId="5" w16cid:durableId="1183400597">
    <w:abstractNumId w:val="3"/>
    <w:lvlOverride w:ilvl="0">
      <w:startOverride w:val="1"/>
    </w:lvlOverride>
  </w:num>
  <w:num w:numId="6" w16cid:durableId="1581524156">
    <w:abstractNumId w:val="2"/>
    <w:lvlOverride w:ilvl="0">
      <w:startOverride w:val="1"/>
    </w:lvlOverride>
  </w:num>
  <w:num w:numId="7" w16cid:durableId="1581524157">
    <w:abstractNumId w:val="3"/>
    <w:lvlOverride w:ilvl="0">
      <w:startOverride w:val="1"/>
    </w:lvlOverride>
  </w:num>
  <w:num w:numId="8" w16cid:durableId="533932941">
    <w:abstractNumId w:val="4"/>
  </w:num>
  <w:num w:numId="9" w16cid:durableId="139828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B3A"/>
    <w:rsid w:val="000063B2"/>
    <w:rsid w:val="00085970"/>
    <w:rsid w:val="000B4497"/>
    <w:rsid w:val="001137F4"/>
    <w:rsid w:val="00115A14"/>
    <w:rsid w:val="00152766"/>
    <w:rsid w:val="001679F5"/>
    <w:rsid w:val="00180EAB"/>
    <w:rsid w:val="0021108D"/>
    <w:rsid w:val="0029729F"/>
    <w:rsid w:val="002C2F52"/>
    <w:rsid w:val="0030252E"/>
    <w:rsid w:val="00325746"/>
    <w:rsid w:val="003411C0"/>
    <w:rsid w:val="003D0CBE"/>
    <w:rsid w:val="00406FC3"/>
    <w:rsid w:val="00445B3A"/>
    <w:rsid w:val="00485ACE"/>
    <w:rsid w:val="004957F9"/>
    <w:rsid w:val="004A6751"/>
    <w:rsid w:val="004C3E53"/>
    <w:rsid w:val="00567FBC"/>
    <w:rsid w:val="005A0E62"/>
    <w:rsid w:val="00610914"/>
    <w:rsid w:val="00640A7D"/>
    <w:rsid w:val="006C75CD"/>
    <w:rsid w:val="006E0A43"/>
    <w:rsid w:val="006E6C34"/>
    <w:rsid w:val="00715D5C"/>
    <w:rsid w:val="00747E97"/>
    <w:rsid w:val="00764A09"/>
    <w:rsid w:val="00772E75"/>
    <w:rsid w:val="00791E87"/>
    <w:rsid w:val="007D7897"/>
    <w:rsid w:val="008048DB"/>
    <w:rsid w:val="00840F48"/>
    <w:rsid w:val="00863AEC"/>
    <w:rsid w:val="008A253D"/>
    <w:rsid w:val="008C78BB"/>
    <w:rsid w:val="008F63A5"/>
    <w:rsid w:val="00900F0B"/>
    <w:rsid w:val="00922D5F"/>
    <w:rsid w:val="00923BC3"/>
    <w:rsid w:val="00A33AEB"/>
    <w:rsid w:val="00A6356F"/>
    <w:rsid w:val="00A64C48"/>
    <w:rsid w:val="00A7342A"/>
    <w:rsid w:val="00B048EC"/>
    <w:rsid w:val="00B06FEF"/>
    <w:rsid w:val="00D44E9A"/>
    <w:rsid w:val="00E629BB"/>
    <w:rsid w:val="00EA144D"/>
    <w:rsid w:val="00FF238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6652835"/>
  <w15:docId w15:val="{0F13B31D-797F-AD41-A1E7-458C2A05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 w:space="0" w:color="2C3E50"/>
      </w:pBdr>
      <w:spacing w:before="360" w:after="120"/>
      <w:outlineLvl w:val="0"/>
    </w:pPr>
    <w:rPr>
      <w:b/>
      <w:bCs/>
      <w:caps/>
      <w:color w:val="2C3E50"/>
      <w:sz w:val="26"/>
      <w:szCs w:val="26"/>
    </w:rPr>
  </w:style>
  <w:style w:type="paragraph" w:styleId="Heading2">
    <w:name w:val="heading 2"/>
    <w:uiPriority w:val="9"/>
    <w:unhideWhenUsed/>
    <w:qFormat/>
    <w:pPr>
      <w:spacing w:before="240" w:after="100"/>
      <w:outlineLvl w:val="1"/>
    </w:pPr>
    <w:rPr>
      <w:b/>
      <w:bCs/>
      <w:color w:val="34495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0-0002-4745-9068" TargetMode="External"/><Relationship Id="rId3" Type="http://schemas.openxmlformats.org/officeDocument/2006/relationships/settings" Target="settings.xml"/><Relationship Id="rId7" Type="http://schemas.openxmlformats.org/officeDocument/2006/relationships/hyperlink" Target="https://www.yifatara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1979</Words>
  <Characters>12112</Characters>
  <Application>Microsoft Office Word</Application>
  <DocSecurity>0</DocSecurity>
  <Lines>192</Lines>
  <Paragraphs>45</Paragraphs>
  <ScaleCrop>false</ScaleCrop>
  <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יפעת ארן</cp:lastModifiedBy>
  <cp:revision>24</cp:revision>
  <cp:lastPrinted>2026-02-16T10:39:00Z</cp:lastPrinted>
  <dcterms:created xsi:type="dcterms:W3CDTF">2026-02-16T10:39:00Z</dcterms:created>
  <dcterms:modified xsi:type="dcterms:W3CDTF">2026-03-23T16:23:00Z</dcterms:modified>
</cp:coreProperties>
</file>