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472FFF80"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Stanford University, Law School</w:t>
      </w:r>
      <w:r>
        <w:rPr>
          <w:rFonts w:ascii="Garamond" w:hAnsi="Garamond"/>
          <w:color w:val="000000" w:themeColor="text1"/>
        </w:rPr>
        <w:tab/>
        <w:t>2026</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undertheorized.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867–963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25(1)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 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E5FA901" w14:textId="0C11C3E6" w:rsidR="006E6C34" w:rsidRPr="0029729F"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color w:val="000000" w:themeColor="text1"/>
        </w:rPr>
        <w:t xml:space="preserve">, </w:t>
      </w:r>
      <w:r w:rsidRPr="0029729F">
        <w:rPr>
          <w:rFonts w:ascii="Garamond" w:hAnsi="Garamond"/>
          <w:i/>
          <w:iCs/>
          <w:color w:val="000000" w:themeColor="text1"/>
        </w:rPr>
        <w:t xml:space="preserve">The Optional Firm: The Silicon Valley Model of Startup Organization</w:t>
      </w:r>
      <w:r w:rsidRPr="0029729F">
        <w:rPr>
          <w:rFonts w:ascii="Garamond" w:hAnsi="Garamond"/>
          <w:color w:val="000000" w:themeColor="text1"/>
        </w:rPr>
        <w:t xml:space="preserve"> (forthcoming, </w:t>
      </w:r>
      <w:r w:rsidRPr="0029729F">
        <w:rPr>
          <w:rFonts w:ascii="Garamond" w:hAnsi="Garamond"/>
          <w:smallCaps/>
          <w:color w:val="000000" w:themeColor="text1"/>
        </w:rPr>
        <w:t xml:space="preserve">European Business Organization Law Review</w:t>
      </w:r>
      <w:r w:rsidRPr="0029729F">
        <w:rPr>
          <w:rFonts w:ascii="Garamond" w:hAnsi="Garamond"/>
          <w:color w:val="000000" w:themeColor="text1"/>
        </w:rPr>
        <w:t xml:space="preserve">).</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Specialised Courts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2022–2026</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2023–2026</w:t>
      </w:r>
      <w:r>
        <w:rPr>
          <w:rFonts w:ascii="Garamond" w:hAnsi="Garamond"/>
          <w:color w:val="000000" w:themeColor="text1"/>
        </w:rPr>
        <w:tab/>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A0B000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 xml:space="preserve">I.B.I. Capital</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Law and Entrepreneurship Association (LEA) Retreat, Vanderbilt University</w:t>
      </w:r>
    </w:p>
    <w:p w14:paraId="5A0B000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07/2023  </w:t>
      </w:r>
      <w:r>
        <w:rPr>
          <w:rFonts w:ascii="Garamond" w:hAnsi="Garamond"/>
          <w:color w:val="000000" w:themeColor="text1"/>
        </w:rPr>
        <w:t xml:space="preserve">15th Annual Columbia-Ono Corporate Law &amp; Governance Conference, Ono Academic College (invited plenary speaker)</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5A0B0003"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 xml:space="preserve">Controlling Shareholders, Control Enhancing Mechanisms and Corporate Governance, Tel Aviv (invited speaker)</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Law and Entrepreneurship Association (LEA) Retreat, University of Pennsylvania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5A0B00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05/2021  </w:t>
      </w:r>
      <w:r>
        <w:rPr>
          <w:rFonts w:ascii="Garamond" w:hAnsi="Garamond"/>
          <w:color w:val="000000" w:themeColor="text1"/>
        </w:rPr>
        <w:t xml:space="preserve">Behavioral Ethics Meets Corporate Governance, Jerusalem (invited plenary speaker, moderator)</w:t>
      </w:r>
    </w:p>
    <w:p w14:paraId="5A0B000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01/2021  </w:t>
      </w:r>
      <w:r>
        <w:rPr>
          <w:rFonts w:ascii="Garamond" w:hAnsi="Garamond"/>
          <w:color w:val="000000" w:themeColor="text1"/>
        </w:rPr>
        <w:t xml:space="preserve">A Decade to the Economic Court (invited plenary speaker)</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5A0B000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2026  </w:t>
      </w:r>
      <w:r>
        <w:rPr>
          <w:rFonts w:ascii="Garamond" w:hAnsi="Garamond"/>
          <w:color w:val="000000" w:themeColor="text1"/>
        </w:rPr>
        <w:t xml:space="preserve">Departmental Seminar, School of Economics, University of Haifa</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The Hebrew University of Jerusalem</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5A0B000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  </w:t>
      </w:r>
      <w:r>
        <w:rPr>
          <w:rFonts w:ascii="Garamond" w:hAnsi="Garamond"/>
          <w:color w:val="000000" w:themeColor="text1"/>
        </w:rPr>
        <w:t xml:space="preserve">Applied Economics Seminar, Tiomkin School of Economics, Reichman University</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 speaker)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