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083EC438" w14:textId="77777777" w:rsidR="00445B3A" w:rsidRPr="00485ACE" w:rsidRDefault="00445B3A">
      <w:pPr>
        <w:pBdr>
          <w:bottom w:val="single" w:sz="2" w:space="0" w:color="2C3E50"/>
        </w:pBdr>
        <w:spacing w:before="60" w:after="60"/>
        <w:rPr>
          <w:rFonts w:ascii="Garamond" w:hAnsi="Garamond"/>
          <w:color w:val="000000" w:themeColor="text1"/>
        </w:rPr>
      </w:pPr>
    </w:p>
    <w:p w14:paraId="6AFA54BC" w14:textId="77777777" w:rsidR="00445B3A" w:rsidRPr="00485ACE" w:rsidRDefault="00000000">
      <w:pPr>
        <w:pStyle w:val="Heading1"/>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 xml:space="preserve">Professor </w:t>
      </w:r>
      <w:r w:rsidRPr="00764A09">
        <w:rPr>
          <w:rFonts w:ascii="Garamond" w:hAnsi="Garamond"/>
          <w:color w:val="000000" w:themeColor="text1"/>
        </w:rPr>
        <w:t>(non-tenure-track)</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Faculty of Law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poorly understood.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102–199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24(2)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3A7B92F1" w14:textId="33C44D58" w:rsidR="006E6C34" w:rsidRDefault="006E6C34" w:rsidP="006E6C34">
      <w:pPr>
        <w:pStyle w:val="ListParagraph"/>
        <w:numPr>
          <w:ilvl w:val="0"/>
          <w:numId w:val="2"/>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B848C57" w14:textId="77777777" w:rsidR="00445B3A" w:rsidRPr="00485ACE" w:rsidRDefault="00000000">
      <w:pPr>
        <w:pStyle w:val="Heading2"/>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Specialized Court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04527037" w14:textId="77777777" w:rsidR="00445B3A" w:rsidRPr="00485ACE" w:rsidRDefault="00000000">
      <w:pPr>
        <w:pStyle w:val="Heading2"/>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to Look Beyond Taxation</w:t>
      </w:r>
      <w:r>
        <w:rPr>
          <w:rFonts w:ascii="Garamond" w:hAnsi="Garamond"/>
          <w:color w:val="000000" w:themeColor="text1"/>
        </w:rPr>
        <w:t>, Oxford Business Law Blog (January 2026).</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65A7B862" w14:textId="2383B30C"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rPr>
          <w:rFonts w:ascii="Garamond" w:hAnsi="Garamond"/>
          <w:color w:val="000000" w:themeColor="text1"/>
        </w:rPr>
      </w:pPr>
      <w:r>
        <w:rPr>
          <w:rFonts w:ascii="Garamond" w:hAnsi="Garamond"/>
          <w:color w:val="000000" w:themeColor="text1"/>
        </w:rPr>
        <w:t>RESEARCH GRANTS</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Israeli Science Foundation (ISF). ₪561,000.</w:t>
      </w:r>
    </w:p>
    <w:p w14:paraId="73F64597"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 xml:space="preserve">Co-PI. </w:t>
      </w:r>
      <w:r>
        <w:rPr>
          <w:rFonts w:ascii="Garamond" w:hAnsi="Garamond"/>
          <w:i/>
          <w:iCs/>
          <w:color w:val="000000" w:themeColor="text1"/>
        </w:rPr>
        <w:t>Secondary Sales of Startup Employee Stock in the US and Israel (with Brian Broughman)</w:t>
      </w:r>
      <w:r>
        <w:rPr>
          <w:rFonts w:ascii="Garamond" w:hAnsi="Garamond"/>
          <w:color w:val="000000" w:themeColor="text1"/>
        </w:rPr>
        <w:t>. Vanderbilt University. $10,000.</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1698D934" w14:textId="77777777" w:rsidR="00445B3A" w:rsidRPr="00485ACE" w:rsidRDefault="00000000">
      <w:pPr>
        <w:pStyle w:val="Heading2"/>
        <w:rPr>
          <w:rFonts w:ascii="Garamond" w:hAnsi="Garamond"/>
          <w:color w:val="000000" w:themeColor="text1"/>
        </w:rPr>
      </w:pPr>
      <w:r>
        <w:rPr>
          <w:rFonts w:ascii="Garamond" w:hAnsi="Garamond"/>
          <w:color w:val="000000" w:themeColor="text1"/>
        </w:rPr>
        <w:t>Pending</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ISF.</w:t>
      </w:r>
    </w:p>
    <w:p w14:paraId="79FF28BD" w14:textId="77777777" w:rsidR="00445B3A" w:rsidRPr="00485ACE" w:rsidRDefault="00000000">
      <w:pPr>
        <w:pStyle w:val="Heading1"/>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2022–2023</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2023–2024</w:t>
      </w:r>
      <w:r>
        <w:rPr>
          <w:rFonts w:ascii="Garamond" w:hAnsi="Garamond"/>
          <w:color w:val="000000" w:themeColor="text1"/>
        </w:rPr>
        <w:tab/>
      </w:r>
    </w:p>
    <w:p w14:paraId="4EC21481" w14:textId="77777777" w:rsidR="006E0A43" w:rsidRDefault="006E0A43">
      <w:pPr>
        <w:pStyle w:val="Heading1"/>
        <w:rPr>
          <w:rFonts w:ascii="Garamond" w:hAnsi="Garamond"/>
          <w:color w:val="000000" w:themeColor="text1"/>
        </w:rPr>
      </w:pPr>
    </w:p>
    <w:p w14:paraId="08ED37DB" w14:textId="542FF475"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rPr>
          <w:rFonts w:ascii="Garamond" w:hAnsi="Garamond"/>
          <w:color w:val="000000" w:themeColor="text1"/>
        </w:rPr>
      </w:pPr>
      <w:r>
        <w:rPr>
          <w:rFonts w:ascii="Garamond" w:hAnsi="Garamond"/>
          <w:color w:val="000000" w:themeColor="text1"/>
        </w:rPr>
        <w:t>Invited Scholarly Lectures</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32C0F48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Israel and the Regional Economy, Harvard Business School (invited plenary speaker)</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D7EB849" w14:textId="77777777" w:rsidR="00445B3A" w:rsidRPr="00485ACE" w:rsidRDefault="00000000">
      <w:pPr>
        <w:pStyle w:val="Heading2"/>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LEA Retreat, Vanderbilt University</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LEA Retreat, University of Pennsylvania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rPr>
          <w:rFonts w:ascii="Garamond" w:hAnsi="Garamond"/>
          <w:color w:val="000000" w:themeColor="text1"/>
        </w:rPr>
      </w:pPr>
      <w:r>
        <w:rPr>
          <w:rFonts w:ascii="Garamond" w:hAnsi="Garamond"/>
          <w:color w:val="000000" w:themeColor="text1"/>
        </w:rPr>
        <w:t>Selected Seminar &amp; Colloquium Talks</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Reichman University</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487EAD4D" w14:textId="77777777" w:rsidR="006E0A43" w:rsidRDefault="006E0A43">
      <w:pPr>
        <w:pStyle w:val="Heading1"/>
        <w:rPr>
          <w:rFonts w:ascii="Garamond" w:hAnsi="Garamond"/>
          <w:color w:val="000000" w:themeColor="text1"/>
        </w:rPr>
      </w:pPr>
    </w:p>
    <w:p w14:paraId="6C2B07DE" w14:textId="06997734"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0FBBF30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the Study of Employee Ownership and Profit Sharing, Rutgers University</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p w14:paraId="7A2DDE8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Matthew Edward Chippin, Post-Doctoral Fellow (co-supervised with Omer Kimchi): Comparative Distressed Financing Law</w:t>
      </w:r>
    </w:p>
    <w:p w14:paraId="52B4358C" w14:textId="081B689D" w:rsidR="00445B3A" w:rsidRPr="00485ACE" w:rsidRDefault="00445B3A">
      <w:pPr>
        <w:spacing w:after="20"/>
        <w:jc w:val="center"/>
        <w:rPr>
          <w:rFonts w:ascii="Garamond" w:hAnsi="Garamond"/>
          <w:color w:val="000000" w:themeColor="text1"/>
        </w:rPr>
      </w:pP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