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rFonts w:ascii="Microsoft YaHei" w:cs="Microsoft YaHei" w:eastAsia="Microsoft YaHei" w:hAnsi="Microsoft YaHei"/>
          <w:color w:val="595959"/>
          <w:sz w:val="19"/>
          <w:szCs w:val="19"/>
        </w:rPr>
        <w:t xml:space="preserve">合同附件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GlocalMe 全球独立站升级项目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00795C"/>
          <w:sz w:val="30"/>
          <w:szCs w:val="30"/>
        </w:rPr>
        <w:t xml:space="preserve">验收标准与服务要求</w:t>
      </w:r>
    </w:p>
    <w:p>
      <w:pPr>
        <w:pBdr>
          <w:bottom w:val="single" w:color="00A651" w:sz="14" w:space="10"/>
        </w:pBdr>
        <w:spacing w:after="160"/>
        <w:jc w:val="center"/>
      </w:pPr>
      <w:r>
        <w:rPr>
          <w:rFonts w:ascii="Microsoft YaHei" w:cs="Microsoft YaHei" w:eastAsia="Microsoft YaHei" w:hAnsi="Microsoft YaHei"/>
          <w:color w:val="1A1F1C"/>
          <w:sz w:val="19"/>
          <w:szCs w:val="19"/>
        </w:rPr>
        <w:t xml:space="preserve">甲方：________________________　　乙方：________________________　　主合同编号：____________</w:t>
      </w:r>
    </w:p>
    <w:p>
      <w:pPr>
        <w:pStyle w:val="Heading1"/>
        <w:pBdr>
          <w:bottom w:val="single" w:color="00A651" w:sz="10" w:space="4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00795C"/>
          <w:sz w:val="25"/>
          <w:szCs w:val="25"/>
        </w:rPr>
        <w:t xml:space="preserve">一、总则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本附件为《________________》（以下简称“主合同”）的组成部分，规定乙方交付成果的验收标准、服务要求及相应责任。本附件未约定的事项，以主合同为准。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项目范围以主合同及《GlocalMe 官网首页升级 Brief》为准。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本附件所列指标均为</w:t>
      </w: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乙方可控制、可负责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的交付与服务指标。网站流量、转化率、销售额等经营结果受推广投放、定价、促销等多重因素影响，</w:t>
      </w: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不作为乙方的验收条件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基线确认：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开工前 5 个工作日内，双方共同对现有网站进行数据快照并书面确认，作为本附件各项指标的比对基线。快照内容包括：首页及主要页面的性能数据、Google Search Console 收录数据、全站 URL 清单、现有埋点与广告像素清单。</w:t>
      </w:r>
    </w:p>
    <w:p>
      <w:pPr>
        <w:pStyle w:val="Heading1"/>
        <w:pBdr>
          <w:bottom w:val="single" w:color="00A651" w:sz="10" w:space="4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00795C"/>
          <w:sz w:val="25"/>
          <w:szCs w:val="25"/>
        </w:rPr>
        <w:t xml:space="preserve">二、交付验收标准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595959"/>
          <w:sz w:val="19"/>
          <w:szCs w:val="19"/>
        </w:rPr>
        <w:t xml:space="preserve">以下第 1–9 项须在上线验收时全部达标；标注“复核”的项目，在质保期内按约定时点再次核验，结果与质保金结算挂钩。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00"/>
        <w:gridCol w:w="4520"/>
        <w:gridCol w:w="3060"/>
      </w:tblGrid>
      <w:tr>
        <w:trPr>
          <w:tblHeader/>
        </w:trPr>
        <w:tc>
          <w:tcPr>
            <w:tcW w:type="dxa" w:w="72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序号</w:t>
            </w:r>
          </w:p>
        </w:tc>
        <w:tc>
          <w:tcPr>
            <w:tcW w:type="dxa" w:w="1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452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验收标准</w:t>
            </w:r>
          </w:p>
        </w:tc>
        <w:tc>
          <w:tcPr>
            <w:tcW w:type="dxa" w:w="306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验收方式与时点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性能</w:t>
            </w:r>
          </w:p>
        </w:tc>
        <w:tc>
          <w:tcPr>
            <w:tcW w:type="dxa" w:w="452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首页移动端 Lighthouse 性能得分</w:t>
            </w: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不低于改版前基线，且不低于 60 分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上线 28 天后真实用户数据（移动端，75 分位）：</w:t>
            </w: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LCP ≤ 2.5 秒、INP ≤ 200 毫秒、CLS ≤ 0.1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图片使用 WebP / AVIF 格式，首屏单张图片 ≤ 200KB；视频懒加载并配静态封面图；首页首次加载总传输量 ≤ 3MB</w:t>
            </w:r>
          </w:p>
        </w:tc>
        <w:tc>
          <w:tcPr>
            <w:tcW w:type="dxa" w:w="306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上线验收：Lighthouse 移动端实测，取 3 次中位数</w:t>
            </w:r>
          </w:p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复核：上线 28 天后，以 PageSpeed Insights 真实用户数据核验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SEO 技术继承</w:t>
            </w:r>
          </w:p>
        </w:tc>
        <w:tc>
          <w:tcPr>
            <w:tcW w:type="dxa" w:w="452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所有变更 URL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100% 配置 301 永久重定向</w:t>
            </w: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，并提供新旧 URL 对照表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不因改版新增 404 页面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页面 Title、Meta Description、H1、图片 Alt 文本完整迁移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商品结构化数据通过 Google 富媒体搜索结果测试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上线当日提交新版 Sitemap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上线后 4 周内，Google 收录页面数较基线</w:t>
            </w: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下降不超过 10%</w:t>
            </w:r>
          </w:p>
        </w:tc>
        <w:tc>
          <w:tcPr>
            <w:tcW w:type="dxa" w:w="306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上线验收：逐项检查</w:t>
            </w:r>
          </w:p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复核：上线 4 周后，以 Google Search Console 核验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埋点与广告像素</w:t>
            </w:r>
          </w:p>
        </w:tc>
        <w:tc>
          <w:tcPr>
            <w:tcW w:type="dxa" w:w="452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基线清单内的 GA4、Meta Pixel、Google Ads 转化代码及 Shopify 标准事件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100% 迁移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浏览商品、加购、发起结账、完成购买等核心事件逐一触发验证，数据正常回传</w:t>
            </w:r>
          </w:p>
        </w:tc>
        <w:tc>
          <w:tcPr>
            <w:tcW w:type="dxa" w:w="306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上线验收：乙方提交埋点验证清单及截图，甲方逐项复核签字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兼容性</w:t>
            </w:r>
          </w:p>
        </w:tc>
        <w:tc>
          <w:tcPr>
            <w:tcW w:type="dxa" w:w="452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以下环境中核心路径（首页 → 商品页 → 加购 → 结账）全部走通，无功能错误、无布局错位：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移动端：iOS Safari、Android Chrome 最新两个版本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桌面端：Chrome、Safari、Edge 最新两个版本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适配 360px 至 1920px 屏幕宽度</w:t>
            </w:r>
          </w:p>
        </w:tc>
        <w:tc>
          <w:tcPr>
            <w:tcW w:type="dxa" w:w="306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上线验收：甲方 UAT 测试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无障碍</w:t>
            </w:r>
          </w:p>
        </w:tc>
        <w:tc>
          <w:tcPr>
            <w:tcW w:type="dxa" w:w="452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符合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WCAG 2.1 AA</w:t>
            </w: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 标准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自动化扫描无严重级（Critical / Serious）问题</w:t>
            </w:r>
          </w:p>
        </w:tc>
        <w:tc>
          <w:tcPr>
            <w:tcW w:type="dxa" w:w="306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上线验收：axe 或 Lighthouse 无障碍扫描 + 人工抽查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缺陷</w:t>
            </w:r>
          </w:p>
        </w:tc>
        <w:tc>
          <w:tcPr>
            <w:tcW w:type="dxa" w:w="452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上线时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P0、P1 级缺陷为 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P2 级缺陷不超过 5 个，且有书面修复排期</w:t>
            </w:r>
          </w:p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（缺陷分级见第四部分）</w:t>
            </w:r>
          </w:p>
        </w:tc>
        <w:tc>
          <w:tcPr>
            <w:tcW w:type="dxa" w:w="306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上线验收：以缺陷清单为准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可运营性</w:t>
            </w:r>
          </w:p>
        </w:tc>
        <w:tc>
          <w:tcPr>
            <w:tcW w:type="dxa" w:w="452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全部页面模块基于 Shopify Online Store 2.0 Sections 开发，运营人员可在主题编辑器中</w:t>
            </w: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自行更换图片、文案、商品与链接，无需修改代码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提供 1 次运营培训及图文操作手册</w:t>
            </w:r>
          </w:p>
        </w:tc>
        <w:tc>
          <w:tcPr>
            <w:tcW w:type="dxa" w:w="306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上线验收：培训后由甲方运营人员现场完成指定修改操作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代码与第三方应用</w:t>
            </w:r>
          </w:p>
        </w:tc>
        <w:tc>
          <w:tcPr>
            <w:tcW w:type="dxa" w:w="452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新增任何第三方 App 或外部脚本，须事先取得甲方书面同意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代码结构清晰、有注释，不得使用加密或混淆代码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不得在网站中植入乙方署名、外链或追踪代码</w:t>
            </w:r>
          </w:p>
        </w:tc>
        <w:tc>
          <w:tcPr>
            <w:tcW w:type="dxa" w:w="306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上线验收：代码审查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交付物与知识产权</w:t>
            </w:r>
          </w:p>
        </w:tc>
        <w:tc>
          <w:tcPr>
            <w:tcW w:type="dxa" w:w="452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交付清单：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主题完整代码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Figma 设计源文件（含组件库与设计规范）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3D 模型工程源文件</w:t>
            </w: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（含材质、贴图、灯光设置）及全部渲染输出文件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新旧 URL 对照表、埋点验证清单、操作手册</w:t>
            </w:r>
          </w:p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上述成果的知识产权自甲方付清对应款项之日起归甲方所有。乙方保证交付成果不侵犯第三方权利，所用字体、图片、音乐等素材须提供合法授权证明。</w:t>
            </w:r>
          </w:p>
        </w:tc>
        <w:tc>
          <w:tcPr>
            <w:tcW w:type="dxa" w:w="306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上线验收：按清单逐项交付核对</w:t>
            </w:r>
          </w:p>
        </w:tc>
      </w:tr>
    </w:tbl>
    <w:p>
      <w:pPr>
        <w:pStyle w:val="Heading1"/>
        <w:pBdr>
          <w:bottom w:val="single" w:color="00A651" w:sz="10" w:space="4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00795C"/>
          <w:sz w:val="25"/>
          <w:szCs w:val="25"/>
        </w:rPr>
        <w:t xml:space="preserve">三、里程碑、付款与延期责任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400"/>
        <w:gridCol w:w="1800"/>
        <w:gridCol w:w="1800"/>
      </w:tblGrid>
      <w:tr>
        <w:trPr>
          <w:tblHeader/>
        </w:trPr>
        <w:tc>
          <w:tcPr>
            <w:tcW w:type="dxa" w:w="1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里程碑</w:t>
            </w:r>
          </w:p>
        </w:tc>
        <w:tc>
          <w:tcPr>
            <w:tcW w:type="dxa" w:w="4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交付内容与达标条件</w:t>
            </w:r>
          </w:p>
        </w:tc>
        <w:tc>
          <w:tcPr>
            <w:tcW w:type="dxa" w:w="18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完成日期</w:t>
            </w:r>
          </w:p>
        </w:tc>
        <w:tc>
          <w:tcPr>
            <w:tcW w:type="dxa" w:w="18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付款比例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M1 合同签订</w:t>
            </w:r>
          </w:p>
        </w:tc>
        <w:tc>
          <w:tcPr>
            <w:tcW w:type="dxa" w:w="4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____年__月__日</w:t>
            </w:r>
          </w:p>
        </w:tc>
        <w:tc>
          <w:tcPr>
            <w:tcW w:type="dxa" w:w="18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30%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M2 设计稿确认</w:t>
            </w:r>
          </w:p>
        </w:tc>
        <w:tc>
          <w:tcPr>
            <w:tcW w:type="dxa" w:w="4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首页全部模块高保真设计稿及移动端适配稿，经甲方书面确认</w:t>
            </w:r>
          </w:p>
        </w:tc>
        <w:tc>
          <w:tcPr>
            <w:tcW w:type="dxa" w:w="18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____年__月__日</w:t>
            </w:r>
          </w:p>
        </w:tc>
        <w:tc>
          <w:tcPr>
            <w:tcW w:type="dxa" w:w="18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30%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M3 开发完成</w:t>
            </w:r>
          </w:p>
        </w:tc>
        <w:tc>
          <w:tcPr>
            <w:tcW w:type="dxa" w:w="4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测试环境交付，可供甲方进行 UAT 测试</w:t>
            </w:r>
          </w:p>
        </w:tc>
        <w:tc>
          <w:tcPr>
            <w:tcW w:type="dxa" w:w="18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____年__月__日</w:t>
            </w:r>
          </w:p>
        </w:tc>
        <w:tc>
          <w:tcPr>
            <w:tcW w:type="dxa" w:w="18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M4 上线验收</w:t>
            </w:r>
          </w:p>
        </w:tc>
        <w:tc>
          <w:tcPr>
            <w:tcW w:type="dxa" w:w="4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正式上线，且第二部分第 1–9 项上线验收内容全部达标</w:t>
            </w:r>
          </w:p>
        </w:tc>
        <w:tc>
          <w:tcPr>
            <w:tcW w:type="dxa" w:w="18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____年__月__日</w:t>
            </w:r>
          </w:p>
        </w:tc>
        <w:tc>
          <w:tcPr>
            <w:tcW w:type="dxa" w:w="18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30%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M5 质保期满</w:t>
            </w:r>
          </w:p>
        </w:tc>
        <w:tc>
          <w:tcPr>
            <w:tcW w:type="dxa" w:w="44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上线满 90 天，性能与 SEO 复核达标，质保期服务无未结问题</w:t>
            </w:r>
          </w:p>
        </w:tc>
        <w:tc>
          <w:tcPr>
            <w:tcW w:type="dxa" w:w="18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上线后第 90 天</w:t>
            </w:r>
          </w:p>
        </w:tc>
        <w:tc>
          <w:tcPr>
            <w:tcW w:type="dxa" w:w="18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10%（质保金）</w:t>
            </w:r>
          </w:p>
        </w:tc>
      </w:tr>
    </w:tbl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延期责任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因乙方原因延期的，每延期 1 个自然日，按合同总额的 </w:t>
      </w: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0.5%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 扣减，累计不超过合同总额的 </w:t>
      </w: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10%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因乙方原因延期超过 </w:t>
      </w: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20 个自然日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的，甲方有权解除合同，乙方退还已收取但未交付部分对应的款项。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因甲方未按第五部分履行配合义务导致的延期，交付日期相应顺延。</w:t>
      </w: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大促代码冻结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正式上线日期不得晚于 </w:t>
      </w: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____年__月__日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2026 年 11 月 13 日至 12 月 1 日为大促代码冻结期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，期间不进行上线切换及非紧急代码变更。如届时未能上线，上线日期顺延至冻结期结束后，由双方另行书面确认。</w:t>
      </w:r>
    </w:p>
    <w:p>
      <w:pPr>
        <w:pStyle w:val="Heading1"/>
        <w:pBdr>
          <w:bottom w:val="single" w:color="00A651" w:sz="10" w:space="4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00795C"/>
          <w:sz w:val="25"/>
          <w:szCs w:val="25"/>
        </w:rPr>
        <w:t xml:space="preserve">四、质保期服务（SLA）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质保期自正式上线之日起 </w:t>
      </w: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90 天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。质保期内，由乙方交付成果引起的缺陷，乙方免费修复，并按下表时限响应与解决。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1500"/>
        <w:gridCol w:w="1600"/>
        <w:gridCol w:w="2100"/>
      </w:tblGrid>
      <w:tr>
        <w:trPr>
          <w:tblHeader/>
        </w:trPr>
        <w:tc>
          <w:tcPr>
            <w:tcW w:type="dxa" w:w="8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级别</w:t>
            </w:r>
          </w:p>
        </w:tc>
        <w:tc>
          <w:tcPr>
            <w:tcW w:type="dxa" w:w="3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定义</w:t>
            </w:r>
          </w:p>
        </w:tc>
        <w:tc>
          <w:tcPr>
            <w:tcW w:type="dxa" w:w="1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响应时限</w:t>
            </w:r>
          </w:p>
        </w:tc>
        <w:tc>
          <w:tcPr>
            <w:tcW w:type="dxa" w:w="1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修复时限</w:t>
            </w:r>
          </w:p>
        </w:tc>
        <w:tc>
          <w:tcPr>
            <w:tcW w:type="dxa" w:w="21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0079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大促保障期</w:t>
            </w:r>
            <w:r>
              <w:rPr>
                <w:rFonts w:ascii="Microsoft YaHei" w:cs="Microsoft YaHei" w:eastAsia="Microsoft YaHei" w:hAnsi="Microsoft YaHei"/>
                <w:color w:val="FFFFFF"/>
                <w:sz w:val="19"/>
                <w:szCs w:val="19"/>
              </w:rPr>
              <w:t xml:space="preserve">*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P0</w:t>
            </w:r>
          </w:p>
        </w:tc>
        <w:tc>
          <w:tcPr>
            <w:tcW w:type="dxa" w:w="3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网站无法访问、无法下单或结账、支付异常</w:t>
            </w:r>
          </w:p>
        </w:tc>
        <w:tc>
          <w:tcPr>
            <w:tcW w:type="dxa" w:w="1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2 小时</w:t>
            </w:r>
          </w:p>
        </w:tc>
        <w:tc>
          <w:tcPr>
            <w:tcW w:type="dxa" w:w="1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24 小时</w:t>
            </w:r>
          </w:p>
        </w:tc>
        <w:tc>
          <w:tcPr>
            <w:tcW w:type="dxa" w:w="21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1 小时响应，专人值守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P1</w:t>
            </w:r>
          </w:p>
        </w:tc>
        <w:tc>
          <w:tcPr>
            <w:tcW w:type="dxa" w:w="3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核心功能异常（加购、搜索、导航失效），移动端严重错位，埋点或像素失效</w:t>
            </w:r>
          </w:p>
        </w:tc>
        <w:tc>
          <w:tcPr>
            <w:tcW w:type="dxa" w:w="1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24 小时</w:t>
            </w:r>
          </w:p>
        </w:tc>
        <w:tc>
          <w:tcPr>
            <w:tcW w:type="dxa" w:w="1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72 小时</w:t>
            </w:r>
          </w:p>
        </w:tc>
        <w:tc>
          <w:tcPr>
            <w:tcW w:type="dxa" w:w="21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4 小时响应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P2</w:t>
            </w:r>
          </w:p>
        </w:tc>
        <w:tc>
          <w:tcPr>
            <w:tcW w:type="dxa" w:w="3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非核心功能异常、局部样式问题</w:t>
            </w:r>
          </w:p>
        </w:tc>
        <w:tc>
          <w:tcPr>
            <w:tcW w:type="dxa" w:w="1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3 个工作日</w:t>
            </w:r>
          </w:p>
        </w:tc>
        <w:tc>
          <w:tcPr>
            <w:tcW w:type="dxa" w:w="1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10 个工作日</w:t>
            </w:r>
          </w:p>
        </w:tc>
        <w:tc>
          <w:tcPr>
            <w:tcW w:type="dxa" w:w="21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同左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P3</w:t>
            </w:r>
          </w:p>
        </w:tc>
        <w:tc>
          <w:tcPr>
            <w:tcW w:type="dxa" w:w="37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文字修正、细节优化类问题</w:t>
            </w:r>
          </w:p>
        </w:tc>
        <w:tc>
          <w:tcPr>
            <w:tcW w:type="dxa" w:w="15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5 个工作日</w:t>
            </w:r>
          </w:p>
        </w:tc>
        <w:tc>
          <w:tcPr>
            <w:tcW w:type="dxa" w:w="16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下一版本</w:t>
            </w:r>
          </w:p>
        </w:tc>
        <w:tc>
          <w:tcPr>
            <w:tcW w:type="dxa" w:w="210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FAFC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同左</w:t>
            </w:r>
          </w:p>
        </w:tc>
      </w:tr>
    </w:tbl>
    <w:p>
      <w:pPr>
        <w:spacing w:after="120" w:line="300"/>
      </w:pPr>
      <w:r>
        <w:rPr>
          <w:rFonts w:ascii="Microsoft YaHei" w:cs="Microsoft YaHei" w:eastAsia="Microsoft YaHei" w:hAnsi="Microsoft YaHei"/>
          <w:color w:val="595959"/>
          <w:sz w:val="17"/>
          <w:szCs w:val="17"/>
        </w:rPr>
        <w:t xml:space="preserve">*大促保障期：2026 年 11 月 20 日至 12 月 2 日（适用于该期间前已上线的情形）。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“响应”指乙方指定负责人书面确认收到问题并开始处理；“修复”指问题在正式环境解决并经甲方确认。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P0、P1 级问题每超时一次，从质保金中扣减合同总额的 </w:t>
      </w: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1%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，累计以质保金为限。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上线 4 周内，如自然搜索流量较基线下降超过 </w:t>
      </w: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15%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，乙方须在 </w:t>
      </w: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5 个工作日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内完成技术排查并出具书面报告；属技术原因的，乙方免费修复。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乙方须指定专属项目负责人及备用联系人，并提供可即时联系的沟通渠道。</w:t>
      </w:r>
    </w:p>
    <w:p>
      <w:pPr>
        <w:pStyle w:val="Heading1"/>
        <w:pBdr>
          <w:bottom w:val="single" w:color="00A651" w:sz="10" w:space="4"/>
        </w:pBdr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00795C"/>
          <w:sz w:val="25"/>
          <w:szCs w:val="25"/>
        </w:rPr>
        <w:t xml:space="preserve">五、甲方配合事项与责任边界</w:t>
      </w: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甲方配合事项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开工后 3 个工作日内，提供 Shopify 后台、Google Search Console、GA4 等必要账号权限。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按约定时间提供品牌规范、产品资料及素材。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收到设计稿或测试版本后 </w:t>
      </w:r>
      <w:r>
        <w:rPr>
          <w:rFonts w:ascii="Microsoft YaHei" w:cs="Microsoft YaHei" w:eastAsia="Microsoft YaHei" w:hAnsi="Microsoft YaHei"/>
          <w:b/>
          <w:bCs/>
          <w:color w:val="1A1F1C"/>
          <w:sz w:val="20"/>
          <w:szCs w:val="20"/>
        </w:rPr>
        <w:t xml:space="preserve">3 个工作日内</w:t>
      </w: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提供书面反馈；逾期反馈的，交付日期相应顺延。</w:t>
      </w: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0795C"/>
          <w:sz w:val="21"/>
          <w:szCs w:val="21"/>
        </w:rPr>
        <w:t xml:space="preserve">以下情形不属于乙方责任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网站流量、转化率、销售额等经营结果。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上线后甲方或第三方自行新增 App、脚本或修改代码所引起的问题，包括由此导致的性能下降。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Shopify 平台、支付网关、CDN 等第三方服务自身的故障。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Microsoft YaHei" w:cs="Microsoft YaHei" w:eastAsia="Microsoft YaHei" w:hAnsi="Microsoft YaHei"/>
          <w:color w:val="1A1F1C"/>
          <w:sz w:val="20"/>
          <w:szCs w:val="20"/>
        </w:rPr>
        <w:t xml:space="preserve">甲方在设计稿确认后提出的需求变更（按变更流程另行评估工期与费用）。</w:t>
      </w:r>
    </w:p>
    <w:p>
      <w:pPr>
        <w:pStyle w:val="Heading1"/>
        <w:keepNext/>
        <w:pBdr>
          <w:bottom w:val="single" w:color="00A651" w:sz="10" w:space="4"/>
        </w:pBd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00795C"/>
          <w:sz w:val="25"/>
          <w:szCs w:val="25"/>
        </w:rPr>
        <w:t xml:space="preserve">六、签署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0"/>
        <w:gridCol w:w="4850"/>
      </w:tblGrid>
      <w:tr>
        <w:trPr>
          <w:cantSplit/>
        </w:trPr>
        <w:tc>
          <w:tcPr>
            <w:tcW w:type="dxa" w:w="485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甲方（盖章）：</w:t>
            </w:r>
          </w:p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 </w:t>
            </w:r>
          </w:p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授权代表（签字）：</w:t>
            </w:r>
          </w:p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日期：______年____月____日</w:t>
            </w:r>
          </w:p>
        </w:tc>
        <w:tc>
          <w:tcPr>
            <w:tcW w:type="dxa" w:w="485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F1C"/>
                <w:sz w:val="18"/>
                <w:szCs w:val="18"/>
              </w:rPr>
              <w:t xml:space="preserve">乙方（盖章）：</w:t>
            </w:r>
          </w:p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 </w:t>
            </w:r>
          </w:p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授权代表（签字）：</w:t>
            </w:r>
          </w:p>
          <w:p>
            <w:pPr>
              <w:spacing w:after="30" w:line="260"/>
            </w:pPr>
            <w:r>
              <w:rPr>
                <w:rFonts w:ascii="Microsoft YaHei" w:cs="Microsoft YaHei" w:eastAsia="Microsoft YaHei" w:hAnsi="Microsoft YaHei"/>
                <w:color w:val="1A1F1C"/>
                <w:sz w:val="18"/>
                <w:szCs w:val="18"/>
              </w:rPr>
              <w:t xml:space="preserve">日期：______年____月____日</w:t>
            </w:r>
          </w:p>
        </w:tc>
      </w:tr>
    </w:tbl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595959"/>
        <w:sz w:val="16"/>
        <w:szCs w:val="16"/>
      </w:rPr>
      <w:t xml:space="preserve">GlocalMe 全球独立站升级项目 · 验收标准与服务要求　第 </w:t>
    </w:r>
    <w:r>
      <w:rPr>
        <w:rFonts w:ascii="Microsoft YaHei" w:cs="Microsoft YaHei" w:eastAsia="Microsoft YaHei" w:hAnsi="Microsoft YaHe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95959"/>
        <w:sz w:val="16"/>
        <w:szCs w:val="16"/>
      </w:rPr>
      <w:t xml:space="preserve"> 页 / 共 </w:t>
    </w:r>
    <w:r>
      <w:rPr>
        <w:rFonts w:ascii="Microsoft YaHei" w:cs="Microsoft YaHei" w:eastAsia="Microsoft YaHei" w:hAnsi="Microsoft YaHe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3" w:hanging="345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A1F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2026-10-12T09:07:42.130Z</dcterms:created>
  <dcterms:modified xsi:type="dcterms:W3CDTF">2026-10-12T09:07:42.130Z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