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NYgrid 2025 model structure and Moses repair</w:t>
      </w:r>
    </w:p>
    <w:p>
      <w:pPr>
        <w:pStyle w:val="Subtitle"/>
      </w:pPr>
      <w:r>
        <w:t>Electrical network and conductor thermal representation</w:t>
      </w:r>
    </w:p>
    <w:p>
      <w:r>
        <w:t>This document describes the model supplied for continued dynamic line rating research: a 148-bus, loss-consistent AC power-flow model with recoverable detailed branch currents and conductor realizations constrained by electrical resistance and reactance. It explains the current network, operating inputs, equations, controls and thermal interpretation. Package setup and run commands are in START_HERE.md.</w:t>
      </w:r>
    </w:p>
    <w:p>
      <w:r>
        <w:t>The compact and detailed networks are two representations of the same current model. Four dated topology states select the network applicable to each 2025 hour. The case is a synthetic research equivalent; its electrical and thermal assumptions do not establish an observed NYISO operating state or installed asset rating.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6768"/>
      </w:tblGrid>
      <w:tr>
        <w:trPr>
          <w:tblHeader w:val="true"/>
          <w:cantSplit/>
        </w:trPr>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Quantity</w:t>
            </w:r>
          </w:p>
        </w:tc>
        <w:tc>
          <w:tcPr>
            <w:tcW w:type="dxa" w:w="6768"/>
            <w:vAlign w:val="center"/>
            <w:tcMar>
              <w:top w:w="80" w:type="dxa"/>
              <w:left w:w="80" w:type="dxa"/>
              <w:bottom w:w="80" w:type="dxa"/>
              <w:right w:w="80" w:type="dxa"/>
            </w:tcMar>
            <w:shd w:fill="244253"/>
          </w:tcPr>
          <w:p>
            <w:pPr>
              <w:spacing w:after="20" w:before="20" w:line="245" w:lineRule="auto"/>
            </w:pPr>
            <w:r>
              <w:rPr>
                <w:b/>
                <w:color w:val="FFFFFF"/>
                <w:sz w:val="18"/>
              </w:rPr>
              <w:t>Current structure</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Retained AC buses</w:t>
            </w:r>
          </w:p>
        </w:tc>
        <w:tc>
          <w:tcPr>
            <w:tcW w:type="dxa" w:w="6768"/>
            <w:vAlign w:val="center"/>
            <w:tcMar>
              <w:top w:w="80" w:type="dxa"/>
              <w:left w:w="80" w:type="dxa"/>
              <w:bottom w:w="80" w:type="dxa"/>
              <w:right w:w="80" w:type="dxa"/>
            </w:tcMar>
            <w:shd w:fill="FFFFFF"/>
          </w:tcPr>
          <w:p>
            <w:pPr>
              <w:spacing w:after="20" w:before="20" w:line="245" w:lineRule="auto"/>
            </w:pPr>
            <w:r>
              <w:rPr>
                <w:sz w:val="18"/>
              </w:rPr>
              <w:t>148 in every dated state</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Detailed AC buses</w:t>
            </w:r>
          </w:p>
        </w:tc>
        <w:tc>
          <w:tcPr>
            <w:tcW w:type="dxa" w:w="6768"/>
            <w:vAlign w:val="center"/>
            <w:tcMar>
              <w:top w:w="80" w:type="dxa"/>
              <w:left w:w="80" w:type="dxa"/>
              <w:bottom w:w="80" w:type="dxa"/>
              <w:right w:w="80" w:type="dxa"/>
            </w:tcMar>
            <w:shd w:fill="F2F5F6"/>
          </w:tcPr>
          <w:p>
            <w:pPr>
              <w:spacing w:after="20" w:before="20" w:line="245" w:lineRule="auto"/>
            </w:pPr>
            <w:r>
              <w:rPr>
                <w:sz w:val="18"/>
              </w:rPr>
              <w:t>266 before full-service Dover; 267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Detailed AC branch rows</w:t>
            </w:r>
          </w:p>
        </w:tc>
        <w:tc>
          <w:tcPr>
            <w:tcW w:type="dxa" w:w="6768"/>
            <w:vAlign w:val="center"/>
            <w:tcMar>
              <w:top w:w="80" w:type="dxa"/>
              <w:left w:w="80" w:type="dxa"/>
              <w:bottom w:w="80" w:type="dxa"/>
              <w:right w:w="80" w:type="dxa"/>
            </w:tcMar>
            <w:shd w:fill="FFFFFF"/>
          </w:tcPr>
          <w:p>
            <w:pPr>
              <w:spacing w:after="20" w:before="20" w:line="245" w:lineRule="auto"/>
            </w:pPr>
            <w:r>
              <w:rPr>
                <w:sz w:val="18"/>
              </w:rPr>
              <w:t>485 before full-service Dover; 488 afterward</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Parent corridor records</w:t>
            </w:r>
          </w:p>
        </w:tc>
        <w:tc>
          <w:tcPr>
            <w:tcW w:type="dxa" w:w="6768"/>
            <w:vAlign w:val="center"/>
            <w:tcMar>
              <w:top w:w="80" w:type="dxa"/>
              <w:left w:w="80" w:type="dxa"/>
              <w:bottom w:w="80" w:type="dxa"/>
              <w:right w:w="80" w:type="dxa"/>
            </w:tcMar>
            <w:shd w:fill="F2F5F6"/>
          </w:tcPr>
          <w:p>
            <w:pPr>
              <w:spacing w:after="20" w:before="20" w:line="245" w:lineRule="auto"/>
            </w:pPr>
            <w:r>
              <w:rPr>
                <w:sz w:val="18"/>
              </w:rPr>
              <w:t>410 before full-service Dover; 413 afterward</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Generator rows</w:t>
            </w:r>
          </w:p>
        </w:tc>
        <w:tc>
          <w:tcPr>
            <w:tcW w:type="dxa" w:w="6768"/>
            <w:vAlign w:val="center"/>
            <w:tcMar>
              <w:top w:w="80" w:type="dxa"/>
              <w:left w:w="80" w:type="dxa"/>
              <w:bottom w:w="80" w:type="dxa"/>
              <w:right w:w="80" w:type="dxa"/>
            </w:tcMar>
            <w:shd w:fill="FFFFFF"/>
          </w:tcPr>
          <w:p>
            <w:pPr>
              <w:spacing w:after="20" w:before="20" w:line="245" w:lineRule="auto"/>
            </w:pPr>
            <w:r>
              <w:rPr>
                <w:sz w:val="18"/>
              </w:rPr>
              <w:t>1,466, with hourly status and bounds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Prescribed transfer rows</w:t>
            </w:r>
          </w:p>
        </w:tc>
        <w:tc>
          <w:tcPr>
            <w:tcW w:type="dxa" w:w="6768"/>
            <w:vAlign w:val="center"/>
            <w:tcMar>
              <w:top w:w="80" w:type="dxa"/>
              <w:left w:w="80" w:type="dxa"/>
              <w:bottom w:w="80" w:type="dxa"/>
              <w:right w:w="80" w:type="dxa"/>
            </w:tcMar>
            <w:shd w:fill="F2F5F6"/>
          </w:tcPr>
          <w:p>
            <w:pPr>
              <w:spacing w:after="20" w:before="20" w:line="245" w:lineRule="auto"/>
            </w:pPr>
            <w:r>
              <w:rPr>
                <w:sz w:val="18"/>
              </w:rPr>
              <w:t>6 MATPOWER DC-line records</w:t>
            </w:r>
          </w:p>
        </w:tc>
      </w:tr>
      <w:tr>
        <w:trPr>
          <w:cantSplit/>
        </w:trPr>
        <w:tc>
          <w:tcPr>
            <w:tcW w:type="dxa" w:w="3168"/>
            <w:vAlign w:val="center"/>
            <w:tcMar>
              <w:top w:w="80" w:type="dxa"/>
              <w:left w:w="80" w:type="dxa"/>
              <w:bottom w:w="80" w:type="dxa"/>
              <w:right w:w="80" w:type="dxa"/>
            </w:tcMar>
            <w:shd w:fill="FFFFFF"/>
          </w:tcPr>
          <w:p>
            <w:pPr>
              <w:spacing w:after="20" w:before="20" w:line="245" w:lineRule="auto"/>
            </w:pPr>
            <w:r>
              <w:rPr>
                <w:sz w:val="18"/>
              </w:rPr>
              <w:t>Time axis</w:t>
            </w:r>
          </w:p>
        </w:tc>
        <w:tc>
          <w:tcPr>
            <w:tcW w:type="dxa" w:w="6768"/>
            <w:vAlign w:val="center"/>
            <w:tcMar>
              <w:top w:w="80" w:type="dxa"/>
              <w:left w:w="80" w:type="dxa"/>
              <w:bottom w:w="80" w:type="dxa"/>
              <w:right w:w="80" w:type="dxa"/>
            </w:tcMar>
            <w:shd w:fill="FFFFFF"/>
          </w:tcPr>
          <w:p>
            <w:pPr>
              <w:spacing w:after="20" w:before="20" w:line="245" w:lineRule="auto"/>
            </w:pPr>
            <w:r>
              <w:rPr>
                <w:sz w:val="18"/>
              </w:rPr>
              <w:t>8,760 hours; 8,651 source-eligible hours</w:t>
            </w:r>
          </w:p>
        </w:tc>
      </w:tr>
      <w:tr>
        <w:trPr>
          <w:cantSplit/>
        </w:trPr>
        <w:tc>
          <w:tcPr>
            <w:tcW w:type="dxa" w:w="3168"/>
            <w:vAlign w:val="center"/>
            <w:tcMar>
              <w:top w:w="80" w:type="dxa"/>
              <w:left w:w="80" w:type="dxa"/>
              <w:bottom w:w="80" w:type="dxa"/>
              <w:right w:w="80" w:type="dxa"/>
            </w:tcMar>
            <w:shd w:fill="F2F5F6"/>
          </w:tcPr>
          <w:p>
            <w:pPr>
              <w:spacing w:after="20" w:before="20" w:line="245" w:lineRule="auto"/>
            </w:pPr>
            <w:r>
              <w:rPr>
                <w:sz w:val="18"/>
              </w:rPr>
              <w:t>Electrical base</w:t>
            </w:r>
          </w:p>
        </w:tc>
        <w:tc>
          <w:tcPr>
            <w:tcW w:type="dxa" w:w="6768"/>
            <w:vAlign w:val="center"/>
            <w:tcMar>
              <w:top w:w="80" w:type="dxa"/>
              <w:left w:w="80" w:type="dxa"/>
              <w:bottom w:w="80" w:type="dxa"/>
              <w:right w:w="80" w:type="dxa"/>
            </w:tcMar>
            <w:shd w:fill="F2F5F6"/>
          </w:tcPr>
          <w:p>
            <w:pPr>
              <w:spacing w:after="20" w:before="20" w:line="245" w:lineRule="auto"/>
            </w:pPr>
            <w:r>
              <w:rPr>
                <w:sz w:val="18"/>
              </w:rPr>
              <w:t>100 MVA; bus-specific nominal kV; 60 Hz</w:t>
            </w:r>
          </w:p>
        </w:tc>
      </w:tr>
    </w:tbl>
    <w:p>
      <w:pPr>
        <w:spacing w:after="0"/>
      </w:pPr>
    </w:p>
    <w:p>
      <w:r>
        <w:drawing>
          <wp:inline xmlns:a="http://schemas.openxmlformats.org/drawingml/2006/main" xmlns:pic="http://schemas.openxmlformats.org/drawingml/2006/picture">
            <wp:extent cx="6309360" cy="2041264"/>
            <wp:docPr id="1" name="Picture 1"/>
            <wp:cNvGraphicFramePr>
              <a:graphicFrameLocks noChangeAspect="1"/>
            </wp:cNvGraphicFramePr>
            <a:graphic>
              <a:graphicData uri="http://schemas.openxmlformats.org/drawingml/2006/picture">
                <pic:pic>
                  <pic:nvPicPr>
                    <pic:cNvPr id="0" name="current_model_schematic.png"/>
                    <pic:cNvPicPr/>
                  </pic:nvPicPr>
                  <pic:blipFill>
                    <a:blip r:embed="rId11"/>
                    <a:stretch>
                      <a:fillRect/>
                    </a:stretch>
                  </pic:blipFill>
                  <pic:spPr>
                    <a:xfrm>
                      <a:off x="0" y="0"/>
                      <a:ext cx="6309360" cy="2041264"/>
                    </a:xfrm>
                    <a:prstGeom prst="rect"/>
                  </pic:spPr>
                </pic:pic>
              </a:graphicData>
            </a:graphic>
          </wp:inline>
        </w:drawing>
      </w:r>
    </w:p>
    <w:p>
      <w:r>
        <w:t>Parent corridors identify modeled facilities or equivalents. Detailed branch rows include numerical line sections and equipment records. Reduced admittance couplings are mathematical objects and have no independent conductor or thermal rating.</w:t>
      </w:r>
    </w:p>
    <w:p>
      <w:r>
        <w:br w:type="page"/>
      </w:r>
    </w:p>
    <w:p>
      <w:pPr>
        <w:pStyle w:val="Heading1"/>
      </w:pPr>
      <w:r>
        <w:t>Network and dated topology</w:t>
      </w:r>
    </w:p>
    <w:p>
      <w:r>
        <w:t>The 148 retained buses comprise 54 New York, 36 ISONE, 31 Ontario and 27 PJM buses. They include 140 NPCC boundary and internal buses plus eight New York 345-kV station ports. The additional ports retain junction voltages without assigning them extra demand or generation solely because they are retained.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1368"/>
        <w:gridCol w:w="3600"/>
        <w:gridCol w:w="13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Retained station port</w:t>
            </w:r>
          </w:p>
        </w:tc>
        <w:tc>
          <w:tcPr>
            <w:tcW w:type="dxa" w:w="1368"/>
            <w:vAlign w:val="center"/>
            <w:tcMar>
              <w:top w:w="80" w:type="dxa"/>
              <w:left w:w="80" w:type="dxa"/>
              <w:bottom w:w="80" w:type="dxa"/>
              <w:right w:w="80" w:type="dxa"/>
            </w:tcMar>
            <w:shd w:fill="244253"/>
          </w:tcPr>
          <w:p>
            <w:pPr>
              <w:spacing w:after="20" w:before="20" w:line="245" w:lineRule="auto"/>
            </w:pPr>
            <w:r>
              <w:rPr>
                <w:b/>
                <w:color w:val="FFFFFF"/>
                <w:sz w:val="18"/>
              </w:rPr>
              <w:t>Bus ID</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Fishkill</w:t>
            </w:r>
          </w:p>
        </w:tc>
        <w:tc>
          <w:tcPr>
            <w:tcW w:type="dxa" w:w="1368"/>
            <w:vAlign w:val="center"/>
            <w:tcMar>
              <w:top w:w="80" w:type="dxa"/>
              <w:left w:w="80" w:type="dxa"/>
              <w:bottom w:w="80" w:type="dxa"/>
              <w:right w:w="80" w:type="dxa"/>
            </w:tcMar>
            <w:shd w:fill="FFFFFF"/>
          </w:tcPr>
          <w:p>
            <w:pPr>
              <w:spacing w:after="20" w:before="20" w:line="245" w:lineRule="auto"/>
            </w:pPr>
            <w:r>
              <w:rPr>
                <w:sz w:val="18"/>
              </w:rPr>
              <w:t>10858</w:t>
            </w:r>
          </w:p>
        </w:tc>
        <w:tc>
          <w:tcPr>
            <w:tcW w:type="dxa" w:w="3600"/>
            <w:vAlign w:val="center"/>
            <w:tcMar>
              <w:top w:w="80" w:type="dxa"/>
              <w:left w:w="80" w:type="dxa"/>
              <w:bottom w:w="80" w:type="dxa"/>
              <w:right w:w="80" w:type="dxa"/>
            </w:tcMar>
            <w:shd w:fill="FFFFFF"/>
          </w:tcPr>
          <w:p>
            <w:pPr>
              <w:spacing w:after="20" w:before="20" w:line="245" w:lineRule="auto"/>
            </w:pPr>
            <w:r>
              <w:rPr>
                <w:sz w:val="18"/>
              </w:rPr>
              <w:t>Wood Street</w:t>
            </w:r>
          </w:p>
        </w:tc>
        <w:tc>
          <w:tcPr>
            <w:tcW w:type="dxa" w:w="1368"/>
            <w:vAlign w:val="center"/>
            <w:tcMar>
              <w:top w:w="80" w:type="dxa"/>
              <w:left w:w="80" w:type="dxa"/>
              <w:bottom w:w="80" w:type="dxa"/>
              <w:right w:w="80" w:type="dxa"/>
            </w:tcMar>
            <w:shd w:fill="FFFFFF"/>
          </w:tcPr>
          <w:p>
            <w:pPr>
              <w:spacing w:after="20" w:before="20" w:line="245" w:lineRule="auto"/>
            </w:pPr>
            <w:r>
              <w:rPr>
                <w:sz w:val="18"/>
              </w:rPr>
              <w:t>10902</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Ladentown</w:t>
            </w:r>
          </w:p>
        </w:tc>
        <w:tc>
          <w:tcPr>
            <w:tcW w:type="dxa" w:w="1368"/>
            <w:vAlign w:val="center"/>
            <w:tcMar>
              <w:top w:w="80" w:type="dxa"/>
              <w:left w:w="80" w:type="dxa"/>
              <w:bottom w:w="80" w:type="dxa"/>
              <w:right w:w="80" w:type="dxa"/>
            </w:tcMar>
            <w:shd w:fill="F2F5F6"/>
          </w:tcPr>
          <w:p>
            <w:pPr>
              <w:spacing w:after="20" w:before="20" w:line="245" w:lineRule="auto"/>
            </w:pPr>
            <w:r>
              <w:rPr>
                <w:sz w:val="18"/>
              </w:rPr>
              <w:t>10774</w:t>
            </w:r>
          </w:p>
        </w:tc>
        <w:tc>
          <w:tcPr>
            <w:tcW w:type="dxa" w:w="3600"/>
            <w:vAlign w:val="center"/>
            <w:tcMar>
              <w:top w:w="80" w:type="dxa"/>
              <w:left w:w="80" w:type="dxa"/>
              <w:bottom w:w="80" w:type="dxa"/>
              <w:right w:w="80" w:type="dxa"/>
            </w:tcMar>
            <w:shd w:fill="F2F5F6"/>
          </w:tcPr>
          <w:p>
            <w:pPr>
              <w:spacing w:after="20" w:before="20" w:line="245" w:lineRule="auto"/>
            </w:pPr>
            <w:r>
              <w:rPr>
                <w:sz w:val="18"/>
              </w:rPr>
              <w:t>Dunwoodie</w:t>
            </w:r>
          </w:p>
        </w:tc>
        <w:tc>
          <w:tcPr>
            <w:tcW w:type="dxa" w:w="1368"/>
            <w:vAlign w:val="center"/>
            <w:tcMar>
              <w:top w:w="80" w:type="dxa"/>
              <w:left w:w="80" w:type="dxa"/>
              <w:bottom w:w="80" w:type="dxa"/>
              <w:right w:w="80" w:type="dxa"/>
            </w:tcMar>
            <w:shd w:fill="F2F5F6"/>
          </w:tcPr>
          <w:p>
            <w:pPr>
              <w:spacing w:after="20" w:before="20" w:line="245" w:lineRule="auto"/>
            </w:pPr>
            <w:r>
              <w:rPr>
                <w:sz w:val="18"/>
              </w:rPr>
              <w:t>10593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East Garden City</w:t>
            </w:r>
          </w:p>
        </w:tc>
        <w:tc>
          <w:tcPr>
            <w:tcW w:type="dxa" w:w="1368"/>
            <w:vAlign w:val="center"/>
            <w:tcMar>
              <w:top w:w="80" w:type="dxa"/>
              <w:left w:w="80" w:type="dxa"/>
              <w:bottom w:w="80" w:type="dxa"/>
              <w:right w:w="80" w:type="dxa"/>
            </w:tcMar>
            <w:shd w:fill="FFFFFF"/>
          </w:tcPr>
          <w:p>
            <w:pPr>
              <w:spacing w:after="20" w:before="20" w:line="245" w:lineRule="auto"/>
            </w:pPr>
            <w:r>
              <w:rPr>
                <w:sz w:val="18"/>
              </w:rPr>
              <w:t>10589</w:t>
            </w:r>
          </w:p>
        </w:tc>
        <w:tc>
          <w:tcPr>
            <w:tcW w:type="dxa" w:w="3600"/>
            <w:vAlign w:val="center"/>
            <w:tcMar>
              <w:top w:w="80" w:type="dxa"/>
              <w:left w:w="80" w:type="dxa"/>
              <w:bottom w:w="80" w:type="dxa"/>
              <w:right w:w="80" w:type="dxa"/>
            </w:tcMar>
            <w:shd w:fill="FFFFFF"/>
          </w:tcPr>
          <w:p>
            <w:pPr>
              <w:spacing w:after="20" w:before="20" w:line="245" w:lineRule="auto"/>
            </w:pPr>
            <w:r>
              <w:rPr>
                <w:sz w:val="18"/>
              </w:rPr>
              <w:t>Gowanus</w:t>
            </w:r>
          </w:p>
        </w:tc>
        <w:tc>
          <w:tcPr>
            <w:tcW w:type="dxa" w:w="1368"/>
            <w:vAlign w:val="center"/>
            <w:tcMar>
              <w:top w:w="80" w:type="dxa"/>
              <w:left w:w="80" w:type="dxa"/>
              <w:bottom w:w="80" w:type="dxa"/>
              <w:right w:w="80" w:type="dxa"/>
            </w:tcMar>
            <w:shd w:fill="FFFFFF"/>
          </w:tcPr>
          <w:p>
            <w:pPr>
              <w:spacing w:after="20" w:before="20" w:line="245" w:lineRule="auto"/>
            </w:pPr>
            <w:r>
              <w:rPr>
                <w:sz w:val="18"/>
              </w:rPr>
              <w:t>11129</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Rainey</w:t>
            </w:r>
          </w:p>
        </w:tc>
        <w:tc>
          <w:tcPr>
            <w:tcW w:type="dxa" w:w="1368"/>
            <w:vAlign w:val="center"/>
            <w:tcMar>
              <w:top w:w="80" w:type="dxa"/>
              <w:left w:w="80" w:type="dxa"/>
              <w:bottom w:w="80" w:type="dxa"/>
              <w:right w:w="80" w:type="dxa"/>
            </w:tcMar>
            <w:shd w:fill="F2F5F6"/>
          </w:tcPr>
          <w:p>
            <w:pPr>
              <w:spacing w:after="20" w:before="20" w:line="245" w:lineRule="auto"/>
            </w:pPr>
            <w:r>
              <w:rPr>
                <w:sz w:val="18"/>
              </w:rPr>
              <w:t>11130</w:t>
            </w:r>
          </w:p>
        </w:tc>
        <w:tc>
          <w:tcPr>
            <w:tcW w:type="dxa" w:w="3600"/>
            <w:vAlign w:val="center"/>
            <w:tcMar>
              <w:top w:w="80" w:type="dxa"/>
              <w:left w:w="80" w:type="dxa"/>
              <w:bottom w:w="80" w:type="dxa"/>
              <w:right w:w="80" w:type="dxa"/>
            </w:tcMar>
            <w:shd w:fill="F2F5F6"/>
          </w:tcPr>
          <w:p>
            <w:pPr>
              <w:spacing w:after="20" w:before="20" w:line="245" w:lineRule="auto"/>
            </w:pPr>
            <w:r>
              <w:rPr>
                <w:sz w:val="18"/>
              </w:rPr>
              <w:t>Cricket Valley</w:t>
            </w:r>
          </w:p>
        </w:tc>
        <w:tc>
          <w:tcPr>
            <w:tcW w:type="dxa" w:w="1368"/>
            <w:vAlign w:val="center"/>
            <w:tcMar>
              <w:top w:w="80" w:type="dxa"/>
              <w:left w:w="80" w:type="dxa"/>
              <w:bottom w:w="80" w:type="dxa"/>
              <w:right w:w="80" w:type="dxa"/>
            </w:tcMar>
            <w:shd w:fill="F2F5F6"/>
          </w:tcPr>
          <w:p>
            <w:pPr>
              <w:spacing w:after="20" w:before="20" w:line="245" w:lineRule="auto"/>
            </w:pPr>
            <w:r>
              <w:rPr>
                <w:sz w:val="18"/>
              </w:rPr>
              <w:t>20001</w:t>
            </w:r>
          </w:p>
        </w:tc>
      </w:tr>
    </w:tbl>
    <w:p>
      <w:pPr>
        <w:spacing w:after="0"/>
      </w:pPr>
    </w:p>
    <w:p>
      <w:r>
        <w:t>In the detailed representation, 43 additional Downstate terminals and 75 numerical section buses are passive and eliminated. The post-Dover state adds one passive regulated port. Thus 118 or 119 eliminated voltages supplement the same 148 retained voltages. Numerical section buses represent discretization, not extra substations.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4"/>
        <w:gridCol w:w="2736"/>
        <w:gridCol w:w="3816"/>
      </w:tblGrid>
      <w:tr>
        <w:trPr>
          <w:tblHeader w:val="true"/>
          <w:cantSplit/>
        </w:trPr>
        <w:tc>
          <w:tcPr>
            <w:tcW w:type="dxa" w:w="3384"/>
            <w:vAlign w:val="center"/>
            <w:tcMar>
              <w:top w:w="80" w:type="dxa"/>
              <w:left w:w="80" w:type="dxa"/>
              <w:bottom w:w="80" w:type="dxa"/>
              <w:right w:w="80" w:type="dxa"/>
            </w:tcMar>
            <w:shd w:fill="244253"/>
          </w:tcPr>
          <w:p>
            <w:pPr>
              <w:spacing w:after="20" w:before="20" w:line="245" w:lineRule="auto"/>
            </w:pPr>
            <w:r>
              <w:rPr>
                <w:b/>
                <w:color w:val="FFFFFF"/>
                <w:sz w:val="18"/>
              </w:rPr>
              <w:t>State begins</w:t>
            </w:r>
          </w:p>
        </w:tc>
        <w:tc>
          <w:tcPr>
            <w:tcW w:type="dxa" w:w="2736"/>
            <w:vAlign w:val="center"/>
            <w:tcMar>
              <w:top w:w="80" w:type="dxa"/>
              <w:left w:w="80" w:type="dxa"/>
              <w:bottom w:w="80" w:type="dxa"/>
              <w:right w:w="80" w:type="dxa"/>
            </w:tcMar>
            <w:shd w:fill="244253"/>
          </w:tcPr>
          <w:p>
            <w:pPr>
              <w:spacing w:after="20" w:before="20" w:line="245" w:lineRule="auto"/>
            </w:pPr>
            <w:r>
              <w:rPr>
                <w:b/>
                <w:color w:val="FFFFFF"/>
                <w:sz w:val="18"/>
              </w:rPr>
              <w:t>Topology state</w:t>
            </w:r>
          </w:p>
        </w:tc>
        <w:tc>
          <w:tcPr>
            <w:tcW w:type="dxa" w:w="3816"/>
            <w:vAlign w:val="center"/>
            <w:tcMar>
              <w:top w:w="80" w:type="dxa"/>
              <w:left w:w="80" w:type="dxa"/>
              <w:bottom w:w="80" w:type="dxa"/>
              <w:right w:w="80" w:type="dxa"/>
            </w:tcMar>
            <w:shd w:fill="244253"/>
          </w:tcPr>
          <w:p>
            <w:pPr>
              <w:spacing w:after="20" w:before="20" w:line="245" w:lineRule="auto"/>
            </w:pPr>
            <w:r>
              <w:rPr>
                <w:b/>
                <w:color w:val="FFFFFF"/>
                <w:sz w:val="18"/>
              </w:rPr>
              <w:t>Detailed buses / branches</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Start of local 2025</w:t>
            </w:r>
          </w:p>
        </w:tc>
        <w:tc>
          <w:tcPr>
            <w:tcW w:type="dxa" w:w="2736"/>
            <w:vAlign w:val="center"/>
            <w:tcMar>
              <w:top w:w="80" w:type="dxa"/>
              <w:left w:w="80" w:type="dxa"/>
              <w:bottom w:w="80" w:type="dxa"/>
              <w:right w:w="80" w:type="dxa"/>
            </w:tcMar>
            <w:shd w:fill="FFFFFF"/>
          </w:tcPr>
          <w:p>
            <w:pPr>
              <w:spacing w:after="20" w:before="20" w:line="245" w:lineRule="auto"/>
            </w:pPr>
            <w:r>
              <w:rPr>
                <w:sz w:val="18"/>
              </w:rPr>
              <w:t>pre_may</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21 May 2025 00 EDT</w:t>
            </w:r>
          </w:p>
        </w:tc>
        <w:tc>
          <w:tcPr>
            <w:tcW w:type="dxa" w:w="2736"/>
            <w:vAlign w:val="center"/>
            <w:tcMar>
              <w:top w:w="80" w:type="dxa"/>
              <w:left w:w="80" w:type="dxa"/>
              <w:bottom w:w="80" w:type="dxa"/>
              <w:right w:w="80" w:type="dxa"/>
            </w:tcMar>
            <w:shd w:fill="F2F5F6"/>
          </w:tcPr>
          <w:p>
            <w:pPr>
              <w:spacing w:after="20" w:before="20" w:line="245" w:lineRule="auto"/>
            </w:pPr>
            <w:r>
              <w:rPr>
                <w:sz w:val="18"/>
              </w:rPr>
              <w:t>may21</w:t>
            </w:r>
          </w:p>
        </w:tc>
        <w:tc>
          <w:tcPr>
            <w:tcW w:type="dxa" w:w="3816"/>
            <w:vAlign w:val="center"/>
            <w:tcMar>
              <w:top w:w="80" w:type="dxa"/>
              <w:left w:w="80" w:type="dxa"/>
              <w:bottom w:w="80" w:type="dxa"/>
              <w:right w:w="80" w:type="dxa"/>
            </w:tcMar>
            <w:shd w:fill="F2F5F6"/>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FFFFF"/>
          </w:tcPr>
          <w:p>
            <w:pPr>
              <w:spacing w:after="20" w:before="20" w:line="245" w:lineRule="auto"/>
            </w:pPr>
            <w:r>
              <w:rPr>
                <w:sz w:val="18"/>
              </w:rPr>
              <w:t>30 May 2025 00 EDT</w:t>
            </w:r>
          </w:p>
        </w:tc>
        <w:tc>
          <w:tcPr>
            <w:tcW w:type="dxa" w:w="2736"/>
            <w:vAlign w:val="center"/>
            <w:tcMar>
              <w:top w:w="80" w:type="dxa"/>
              <w:left w:w="80" w:type="dxa"/>
              <w:bottom w:w="80" w:type="dxa"/>
              <w:right w:w="80" w:type="dxa"/>
            </w:tcMar>
            <w:shd w:fill="FFFFFF"/>
          </w:tcPr>
          <w:p>
            <w:pPr>
              <w:spacing w:after="20" w:before="20" w:line="245" w:lineRule="auto"/>
            </w:pPr>
            <w:r>
              <w:rPr>
                <w:sz w:val="18"/>
              </w:rPr>
              <w:t>may30</w:t>
            </w:r>
          </w:p>
        </w:tc>
        <w:tc>
          <w:tcPr>
            <w:tcW w:type="dxa" w:w="3816"/>
            <w:vAlign w:val="center"/>
            <w:tcMar>
              <w:top w:w="80" w:type="dxa"/>
              <w:left w:w="80" w:type="dxa"/>
              <w:bottom w:w="80" w:type="dxa"/>
              <w:right w:w="80" w:type="dxa"/>
            </w:tcMar>
            <w:shd w:fill="FFFFFF"/>
          </w:tcPr>
          <w:p>
            <w:pPr>
              <w:spacing w:after="20" w:before="20" w:line="245" w:lineRule="auto"/>
            </w:pPr>
            <w:r>
              <w:rPr>
                <w:sz w:val="18"/>
              </w:rPr>
              <w:t>266 / 485</w:t>
            </w:r>
          </w:p>
        </w:tc>
      </w:tr>
      <w:tr>
        <w:trPr>
          <w:cantSplit/>
        </w:trPr>
        <w:tc>
          <w:tcPr>
            <w:tcW w:type="dxa" w:w="3384"/>
            <w:vAlign w:val="center"/>
            <w:tcMar>
              <w:top w:w="80" w:type="dxa"/>
              <w:left w:w="80" w:type="dxa"/>
              <w:bottom w:w="80" w:type="dxa"/>
              <w:right w:w="80" w:type="dxa"/>
            </w:tcMar>
            <w:shd w:fill="F2F5F6"/>
          </w:tcPr>
          <w:p>
            <w:pPr>
              <w:spacing w:after="20" w:before="20" w:line="245" w:lineRule="auto"/>
            </w:pPr>
            <w:r>
              <w:rPr>
                <w:sz w:val="18"/>
              </w:rPr>
              <w:t>19 Dec 2025 23 EST</w:t>
            </w:r>
          </w:p>
        </w:tc>
        <w:tc>
          <w:tcPr>
            <w:tcW w:type="dxa" w:w="2736"/>
            <w:vAlign w:val="center"/>
            <w:tcMar>
              <w:top w:w="80" w:type="dxa"/>
              <w:left w:w="80" w:type="dxa"/>
              <w:bottom w:w="80" w:type="dxa"/>
              <w:right w:w="80" w:type="dxa"/>
            </w:tcMar>
            <w:shd w:fill="F2F5F6"/>
          </w:tcPr>
          <w:p>
            <w:pPr>
              <w:spacing w:after="20" w:before="20" w:line="245" w:lineRule="auto"/>
            </w:pPr>
            <w:r>
              <w:rPr>
                <w:sz w:val="18"/>
              </w:rPr>
              <w:t>post_dover</w:t>
            </w:r>
          </w:p>
        </w:tc>
        <w:tc>
          <w:tcPr>
            <w:tcW w:type="dxa" w:w="3816"/>
            <w:vAlign w:val="center"/>
            <w:tcMar>
              <w:top w:w="80" w:type="dxa"/>
              <w:left w:w="80" w:type="dxa"/>
              <w:bottom w:w="80" w:type="dxa"/>
              <w:right w:w="80" w:type="dxa"/>
            </w:tcMar>
            <w:shd w:fill="F2F5F6"/>
          </w:tcPr>
          <w:p>
            <w:pPr>
              <w:spacing w:after="20" w:before="20" w:line="245" w:lineRule="auto"/>
            </w:pPr>
            <w:r>
              <w:rPr>
                <w:sz w:val="18"/>
              </w:rPr>
              <w:t>267 / 488</w:t>
            </w:r>
          </w:p>
        </w:tc>
      </w:tr>
    </w:tbl>
    <w:p>
      <w:pPr>
        <w:spacing w:after="0"/>
      </w:pPr>
    </w:p>
    <w:p>
      <w:r>
        <w:t>The May boundaries activate the modeled Gowanus–Greenwood and Goethals–Fox Hills receiving paths. The Dover boundary is 20 December 2025 at 04 UTC. These dates are implemented switching policies. An hour selects exactly one state; the states are not separate model versions.</w:t>
      </w:r>
    </w:p>
    <w:p>
      <w:pPr>
        <w:pStyle w:val="Heading2"/>
      </w:pPr>
      <w:r>
        <w:t>Detailed branch representation</w:t>
      </w:r>
    </w:p>
    <w:p>
      <w:r>
        <w:t>The detailed network contains overhead corridors, cable and urban equivalents, transformer-compatible paths, composite voltage-changing equivalents, PAR equipment and inactive records. The section map records each parent, its numerical sections and its physical from/to terminals. Inactive rows remain in the axis and must be distinguished from active zero-flow rows.</w:t>
      </w:r>
    </w:p>
    <w:p>
      <w:r>
        <w:t>Fixed shunts and declared charging compensation remain part of the admittance model. Parent 224 is a released Gilboa–Buchanan network equivalent with total R = 0.02 pu, X = 0.0147 pu and B = 0; it remains electrical-only under the current conductor catalog and geometry limits.</w:t>
      </w:r>
    </w:p>
    <w:p>
      <w:r>
        <w:br w:type="page"/>
      </w:r>
    </w:p>
    <w:p>
      <w:pPr>
        <w:pStyle w:val="Heading1"/>
      </w:pPr>
      <w:r>
        <w:t>Inherited physical parameters</w:t>
      </w:r>
    </w:p>
    <w:p>
      <w:r>
        <w:t>Parent 41 uses imported R = 0.0018 pu and X = 0.0089 pu with a coherent synthetic conductor realization. Its charging B is derived from the same geometry. Candidate selection uses the predeclared imported impedance inference and original charging only as a ranking aid. Neither observed interface errors nor a map chord selects these parameters.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176"/>
        <w:gridCol w:w="5760"/>
      </w:tblGrid>
      <w:tr>
        <w:trPr>
          <w:tblHeader w:val="true"/>
          <w:cantSplit/>
        </w:trPr>
        <w:tc>
          <w:tcPr>
            <w:tcW w:type="dxa" w:w="4176"/>
            <w:vAlign w:val="center"/>
            <w:tcMar>
              <w:top w:w="80" w:type="dxa"/>
              <w:left w:w="80" w:type="dxa"/>
              <w:bottom w:w="80" w:type="dxa"/>
              <w:right w:w="80" w:type="dxa"/>
            </w:tcMar>
            <w:shd w:fill="244253"/>
          </w:tcPr>
          <w:p>
            <w:pPr>
              <w:spacing w:after="20" w:before="20" w:line="245" w:lineRule="auto"/>
            </w:pPr>
            <w:r>
              <w:rPr>
                <w:b/>
                <w:color w:val="FFFFFF"/>
                <w:sz w:val="18"/>
              </w:rPr>
              <w:t>Parent 41 quantity</w:t>
            </w:r>
          </w:p>
        </w:tc>
        <w:tc>
          <w:tcPr>
            <w:tcW w:type="dxa" w:w="5760"/>
            <w:vAlign w:val="center"/>
            <w:tcMar>
              <w:top w:w="80" w:type="dxa"/>
              <w:left w:w="80" w:type="dxa"/>
              <w:bottom w:w="80" w:type="dxa"/>
              <w:right w:w="80" w:type="dxa"/>
            </w:tcMar>
            <w:shd w:fill="244253"/>
          </w:tcPr>
          <w:p>
            <w:pPr>
              <w:spacing w:after="20" w:before="20" w:line="245" w:lineRule="auto"/>
            </w:pPr>
            <w:r>
              <w:rPr>
                <w:b/>
                <w:color w:val="FFFFFF"/>
                <w:sz w:val="18"/>
              </w:rPr>
              <w:t>Current value</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Conductor family and catalog</w:t>
            </w:r>
          </w:p>
        </w:tc>
        <w:tc>
          <w:tcPr>
            <w:tcW w:type="dxa" w:w="5760"/>
            <w:vAlign w:val="center"/>
            <w:tcMar>
              <w:top w:w="80" w:type="dxa"/>
              <w:left w:w="80" w:type="dxa"/>
              <w:bottom w:w="80" w:type="dxa"/>
              <w:right w:w="80" w:type="dxa"/>
            </w:tcMar>
            <w:shd w:fill="FFFFFF"/>
          </w:tcPr>
          <w:p>
            <w:pPr>
              <w:spacing w:after="20" w:before="20" w:line="245" w:lineRule="auto"/>
            </w:pPr>
            <w:r>
              <w:rPr>
                <w:sz w:val="18"/>
              </w:rPr>
              <w:t>ACSS Mallard 795 kcmil</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Parallel circuits and bundle</w:t>
            </w:r>
          </w:p>
        </w:tc>
        <w:tc>
          <w:tcPr>
            <w:tcW w:type="dxa" w:w="5760"/>
            <w:vAlign w:val="center"/>
            <w:tcMar>
              <w:top w:w="80" w:type="dxa"/>
              <w:left w:w="80" w:type="dxa"/>
              <w:bottom w:w="80" w:type="dxa"/>
              <w:right w:w="80" w:type="dxa"/>
            </w:tcMar>
            <w:shd w:fill="F2F5F6"/>
          </w:tcPr>
          <w:p>
            <w:pPr>
              <w:spacing w:after="20" w:before="20" w:line="245" w:lineRule="auto"/>
            </w:pPr>
            <w:r>
              <w:rPr>
                <w:sz w:val="18"/>
              </w:rPr>
              <w:t>4 circuits and 1 subconductor per phase</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Equivalent length</w:t>
            </w:r>
          </w:p>
        </w:tc>
        <w:tc>
          <w:tcPr>
            <w:tcW w:type="dxa" w:w="5760"/>
            <w:vAlign w:val="center"/>
            <w:tcMar>
              <w:top w:w="80" w:type="dxa"/>
              <w:left w:w="80" w:type="dxa"/>
              <w:bottom w:w="80" w:type="dxa"/>
              <w:right w:w="80" w:type="dxa"/>
            </w:tcMar>
            <w:shd w:fill="FFFFFF"/>
          </w:tcPr>
          <w:p>
            <w:pPr>
              <w:spacing w:after="20" w:before="20" w:line="245" w:lineRule="auto"/>
            </w:pPr>
            <w:r>
              <w:rPr>
                <w:sz w:val="18"/>
              </w:rPr>
              <w:t>10.750873 km</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Phase GMD</w:t>
            </w:r>
          </w:p>
        </w:tc>
        <w:tc>
          <w:tcPr>
            <w:tcW w:type="dxa" w:w="5760"/>
            <w:vAlign w:val="center"/>
            <w:tcMar>
              <w:top w:w="80" w:type="dxa"/>
              <w:left w:w="80" w:type="dxa"/>
              <w:bottom w:w="80" w:type="dxa"/>
              <w:right w:w="80" w:type="dxa"/>
            </w:tcMar>
            <w:shd w:fill="F2F5F6"/>
          </w:tcPr>
          <w:p>
            <w:pPr>
              <w:spacing w:after="20" w:before="20" w:line="245" w:lineRule="auto"/>
            </w:pPr>
            <w:r>
              <w:rPr>
                <w:sz w:val="18"/>
              </w:rPr>
              <w:t>3.948477 m</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Reference and maximum temperature</w:t>
            </w:r>
          </w:p>
        </w:tc>
        <w:tc>
          <w:tcPr>
            <w:tcW w:type="dxa" w:w="5760"/>
            <w:vAlign w:val="center"/>
            <w:tcMar>
              <w:top w:w="80" w:type="dxa"/>
              <w:left w:w="80" w:type="dxa"/>
              <w:bottom w:w="80" w:type="dxa"/>
              <w:right w:w="80" w:type="dxa"/>
            </w:tcMar>
            <w:shd w:fill="FFFFFF"/>
          </w:tcPr>
          <w:p>
            <w:pPr>
              <w:spacing w:after="20" w:before="20" w:line="245" w:lineRule="auto"/>
            </w:pPr>
            <w:r>
              <w:rPr>
                <w:sz w:val="18"/>
              </w:rPr>
              <w:t>95 degrees C</w:t>
            </w:r>
          </w:p>
        </w:tc>
      </w:tr>
      <w:tr>
        <w:trPr>
          <w:cantSplit/>
        </w:trPr>
        <w:tc>
          <w:tcPr>
            <w:tcW w:type="dxa" w:w="4176"/>
            <w:vAlign w:val="center"/>
            <w:tcMar>
              <w:top w:w="80" w:type="dxa"/>
              <w:left w:w="80" w:type="dxa"/>
              <w:bottom w:w="80" w:type="dxa"/>
              <w:right w:w="80" w:type="dxa"/>
            </w:tcMar>
            <w:shd w:fill="F2F5F6"/>
          </w:tcPr>
          <w:p>
            <w:pPr>
              <w:spacing w:after="20" w:before="20" w:line="245" w:lineRule="auto"/>
            </w:pPr>
            <w:r>
              <w:rPr>
                <w:sz w:val="18"/>
              </w:rPr>
              <w:t>Total R and X</w:t>
            </w:r>
          </w:p>
        </w:tc>
        <w:tc>
          <w:tcPr>
            <w:tcW w:type="dxa" w:w="5760"/>
            <w:vAlign w:val="center"/>
            <w:tcMar>
              <w:top w:w="80" w:type="dxa"/>
              <w:left w:w="80" w:type="dxa"/>
              <w:bottom w:w="80" w:type="dxa"/>
              <w:right w:w="80" w:type="dxa"/>
            </w:tcMar>
            <w:shd w:fill="F2F5F6"/>
          </w:tcPr>
          <w:p>
            <w:pPr>
              <w:spacing w:after="20" w:before="20" w:line="245" w:lineRule="auto"/>
            </w:pPr>
            <w:r>
              <w:rPr>
                <w:sz w:val="18"/>
              </w:rPr>
              <w:t>0.0018 and 0.0089 pu</w:t>
            </w:r>
          </w:p>
        </w:tc>
      </w:tr>
      <w:tr>
        <w:trPr>
          <w:cantSplit/>
        </w:trPr>
        <w:tc>
          <w:tcPr>
            <w:tcW w:type="dxa" w:w="4176"/>
            <w:vAlign w:val="center"/>
            <w:tcMar>
              <w:top w:w="80" w:type="dxa"/>
              <w:left w:w="80" w:type="dxa"/>
              <w:bottom w:w="80" w:type="dxa"/>
              <w:right w:w="80" w:type="dxa"/>
            </w:tcMar>
            <w:shd w:fill="FFFFFF"/>
          </w:tcPr>
          <w:p>
            <w:pPr>
              <w:spacing w:after="20" w:before="20" w:line="245" w:lineRule="auto"/>
            </w:pPr>
            <w:r>
              <w:rPr>
                <w:sz w:val="18"/>
              </w:rPr>
              <w:t>Total derived charging B</w:t>
            </w:r>
          </w:p>
        </w:tc>
        <w:tc>
          <w:tcPr>
            <w:tcW w:type="dxa" w:w="5760"/>
            <w:vAlign w:val="center"/>
            <w:tcMar>
              <w:top w:w="80" w:type="dxa"/>
              <w:left w:w="80" w:type="dxa"/>
              <w:bottom w:w="80" w:type="dxa"/>
              <w:right w:w="80" w:type="dxa"/>
            </w:tcMar>
            <w:shd w:fill="FFFFFF"/>
          </w:tcPr>
          <w:p>
            <w:pPr>
              <w:spacing w:after="20" w:before="20" w:line="245" w:lineRule="auto"/>
            </w:pPr>
            <w:r>
              <w:rPr>
                <w:sz w:val="18"/>
              </w:rPr>
              <w:t>0.02126747227 pu</w:t>
            </w:r>
          </w:p>
        </w:tc>
      </w:tr>
    </w:tbl>
    <w:p>
      <w:pPr>
        <w:spacing w:after="0"/>
      </w:pPr>
    </w:p>
    <w:p>
      <w:r>
        <w:t>This is an admissible equivalent realization, not an identification of installed conductors or physical route length. The aggregate apparatus current ceiling remains unchanged. The model registry and thermal segment records carry the current parameter basis and broad synthetic length bounds.</w:t>
      </w:r>
    </w:p>
    <w:p>
      <w:pPr>
        <w:pStyle w:val="Heading2"/>
      </w:pPr>
      <w:r>
        <w:t>Section local compensation</w:t>
      </w:r>
    </w:p>
    <w:p>
      <w:r>
        <w:t>Parents 185 and 195 retain their conductor parameters and their total fixed reactor rating of 75 percent of geometric line charging. Each pi section places half of its local 75 percent compensation at each end; contributions add at shared internal nodes. This distributed placement is a declared synthetic design. It does not identify installed intermediate stations or adjustable controllers.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36"/>
        <w:gridCol w:w="1152"/>
        <w:gridCol w:w="3888"/>
        <w:gridCol w:w="3960"/>
      </w:tblGrid>
      <w:tr>
        <w:trPr>
          <w:tblHeader w:val="true"/>
          <w:cantSplit/>
        </w:trPr>
        <w:tc>
          <w:tcPr>
            <w:tcW w:type="dxa" w:w="936"/>
            <w:vAlign w:val="center"/>
            <w:tcMar>
              <w:top w:w="80" w:type="dxa"/>
              <w:left w:w="80" w:type="dxa"/>
              <w:bottom w:w="80" w:type="dxa"/>
              <w:right w:w="80" w:type="dxa"/>
            </w:tcMar>
            <w:shd w:fill="244253"/>
          </w:tcPr>
          <w:p>
            <w:pPr>
              <w:spacing w:after="20" w:before="20" w:line="245" w:lineRule="auto"/>
            </w:pPr>
            <w:r>
              <w:rPr>
                <w:b/>
                <w:color w:val="FFFFFF"/>
                <w:sz w:val="18"/>
              </w:rPr>
              <w:t>Parent</w:t>
            </w:r>
          </w:p>
        </w:tc>
        <w:tc>
          <w:tcPr>
            <w:tcW w:type="dxa" w:w="1152"/>
            <w:vAlign w:val="center"/>
            <w:tcMar>
              <w:top w:w="80" w:type="dxa"/>
              <w:left w:w="80" w:type="dxa"/>
              <w:bottom w:w="80" w:type="dxa"/>
              <w:right w:w="80" w:type="dxa"/>
            </w:tcMar>
            <w:shd w:fill="244253"/>
          </w:tcPr>
          <w:p>
            <w:pPr>
              <w:spacing w:after="20" w:before="20" w:line="245" w:lineRule="auto"/>
            </w:pPr>
            <w:r>
              <w:rPr>
                <w:b/>
                <w:color w:val="FFFFFF"/>
                <w:sz w:val="18"/>
              </w:rPr>
              <w:t>Sections</w:t>
            </w:r>
          </w:p>
        </w:tc>
        <w:tc>
          <w:tcPr>
            <w:tcW w:type="dxa" w:w="3888"/>
            <w:vAlign w:val="center"/>
            <w:tcMar>
              <w:top w:w="80" w:type="dxa"/>
              <w:left w:w="80" w:type="dxa"/>
              <w:bottom w:w="80" w:type="dxa"/>
              <w:right w:w="80" w:type="dxa"/>
            </w:tcMar>
            <w:shd w:fill="244253"/>
          </w:tcPr>
          <w:p>
            <w:pPr>
              <w:spacing w:after="20" w:before="20" w:line="245" w:lineRule="auto"/>
            </w:pPr>
            <w:r>
              <w:rPr>
                <w:b/>
                <w:color w:val="FFFFFF"/>
                <w:sz w:val="18"/>
              </w:rPr>
              <w:t>Total reactor at 1 pu MVAr</w:t>
            </w:r>
          </w:p>
        </w:tc>
        <w:tc>
          <w:tcPr>
            <w:tcW w:type="dxa" w:w="3960"/>
            <w:vAlign w:val="center"/>
            <w:tcMar>
              <w:top w:w="80" w:type="dxa"/>
              <w:left w:w="80" w:type="dxa"/>
              <w:bottom w:w="80" w:type="dxa"/>
              <w:right w:w="80" w:type="dxa"/>
            </w:tcMar>
            <w:shd w:fill="244253"/>
          </w:tcPr>
          <w:p>
            <w:pPr>
              <w:spacing w:after="20" w:before="20" w:line="245" w:lineRule="auto"/>
            </w:pPr>
            <w:r>
              <w:rPr>
                <w:b/>
                <w:color w:val="FFFFFF"/>
                <w:sz w:val="18"/>
              </w:rPr>
              <w:t>Each terminal MVAr</w:t>
            </w:r>
          </w:p>
        </w:tc>
      </w:tr>
      <w:tr>
        <w:trPr>
          <w:cantSplit/>
        </w:trPr>
        <w:tc>
          <w:tcPr>
            <w:tcW w:type="dxa" w:w="936"/>
            <w:vAlign w:val="center"/>
            <w:tcMar>
              <w:top w:w="80" w:type="dxa"/>
              <w:left w:w="80" w:type="dxa"/>
              <w:bottom w:w="80" w:type="dxa"/>
              <w:right w:w="80" w:type="dxa"/>
            </w:tcMar>
            <w:shd w:fill="FFFFFF"/>
          </w:tcPr>
          <w:p>
            <w:pPr>
              <w:spacing w:after="20" w:before="20" w:line="245" w:lineRule="auto"/>
            </w:pPr>
            <w:r>
              <w:rPr>
                <w:sz w:val="18"/>
              </w:rPr>
              <w:t>185</w:t>
            </w:r>
          </w:p>
        </w:tc>
        <w:tc>
          <w:tcPr>
            <w:tcW w:type="dxa" w:w="1152"/>
            <w:vAlign w:val="center"/>
            <w:tcMar>
              <w:top w:w="80" w:type="dxa"/>
              <w:left w:w="80" w:type="dxa"/>
              <w:bottom w:w="80" w:type="dxa"/>
              <w:right w:w="80" w:type="dxa"/>
            </w:tcMar>
            <w:shd w:fill="FFFFFF"/>
          </w:tcPr>
          <w:p>
            <w:pPr>
              <w:spacing w:after="20" w:before="20" w:line="245" w:lineRule="auto"/>
            </w:pPr>
            <w:r>
              <w:rPr>
                <w:sz w:val="18"/>
              </w:rPr>
              <w:t>6</w:t>
            </w:r>
          </w:p>
        </w:tc>
        <w:tc>
          <w:tcPr>
            <w:tcW w:type="dxa" w:w="3888"/>
            <w:vAlign w:val="center"/>
            <w:tcMar>
              <w:top w:w="80" w:type="dxa"/>
              <w:left w:w="80" w:type="dxa"/>
              <w:bottom w:w="80" w:type="dxa"/>
              <w:right w:w="80" w:type="dxa"/>
            </w:tcMar>
            <w:shd w:fill="FFFFFF"/>
          </w:tcPr>
          <w:p>
            <w:pPr>
              <w:spacing w:after="20" w:before="20" w:line="245" w:lineRule="auto"/>
            </w:pPr>
            <w:r>
              <w:rPr>
                <w:sz w:val="18"/>
              </w:rPr>
              <w:t>607.279468</w:t>
            </w:r>
          </w:p>
        </w:tc>
        <w:tc>
          <w:tcPr>
            <w:tcW w:type="dxa" w:w="3960"/>
            <w:vAlign w:val="center"/>
            <w:tcMar>
              <w:top w:w="80" w:type="dxa"/>
              <w:left w:w="80" w:type="dxa"/>
              <w:bottom w:w="80" w:type="dxa"/>
              <w:right w:w="80" w:type="dxa"/>
            </w:tcMar>
            <w:shd w:fill="FFFFFF"/>
          </w:tcPr>
          <w:p>
            <w:pPr>
              <w:spacing w:after="20" w:before="20" w:line="245" w:lineRule="auto"/>
            </w:pPr>
            <w:r>
              <w:rPr>
                <w:sz w:val="18"/>
              </w:rPr>
              <w:t>50.606622</w:t>
            </w:r>
          </w:p>
        </w:tc>
      </w:tr>
      <w:tr>
        <w:trPr>
          <w:cantSplit/>
        </w:trPr>
        <w:tc>
          <w:tcPr>
            <w:tcW w:type="dxa" w:w="936"/>
            <w:vAlign w:val="center"/>
            <w:tcMar>
              <w:top w:w="80" w:type="dxa"/>
              <w:left w:w="80" w:type="dxa"/>
              <w:bottom w:w="80" w:type="dxa"/>
              <w:right w:w="80" w:type="dxa"/>
            </w:tcMar>
            <w:shd w:fill="F2F5F6"/>
          </w:tcPr>
          <w:p>
            <w:pPr>
              <w:spacing w:after="20" w:before="20" w:line="245" w:lineRule="auto"/>
            </w:pPr>
            <w:r>
              <w:rPr>
                <w:sz w:val="18"/>
              </w:rPr>
              <w:t>195</w:t>
            </w:r>
          </w:p>
        </w:tc>
        <w:tc>
          <w:tcPr>
            <w:tcW w:type="dxa" w:w="1152"/>
            <w:vAlign w:val="center"/>
            <w:tcMar>
              <w:top w:w="80" w:type="dxa"/>
              <w:left w:w="80" w:type="dxa"/>
              <w:bottom w:w="80" w:type="dxa"/>
              <w:right w:w="80" w:type="dxa"/>
            </w:tcMar>
            <w:shd w:fill="F2F5F6"/>
          </w:tcPr>
          <w:p>
            <w:pPr>
              <w:spacing w:after="20" w:before="20" w:line="245" w:lineRule="auto"/>
            </w:pPr>
            <w:r>
              <w:rPr>
                <w:sz w:val="18"/>
              </w:rPr>
              <w:t>7</w:t>
            </w:r>
          </w:p>
        </w:tc>
        <w:tc>
          <w:tcPr>
            <w:tcW w:type="dxa" w:w="3888"/>
            <w:vAlign w:val="center"/>
            <w:tcMar>
              <w:top w:w="80" w:type="dxa"/>
              <w:left w:w="80" w:type="dxa"/>
              <w:bottom w:w="80" w:type="dxa"/>
              <w:right w:w="80" w:type="dxa"/>
            </w:tcMar>
            <w:shd w:fill="F2F5F6"/>
          </w:tcPr>
          <w:p>
            <w:pPr>
              <w:spacing w:after="20" w:before="20" w:line="245" w:lineRule="auto"/>
            </w:pPr>
            <w:r>
              <w:rPr>
                <w:sz w:val="18"/>
              </w:rPr>
              <w:t>254.817180</w:t>
            </w:r>
          </w:p>
        </w:tc>
        <w:tc>
          <w:tcPr>
            <w:tcW w:type="dxa" w:w="3960"/>
            <w:vAlign w:val="center"/>
            <w:tcMar>
              <w:top w:w="80" w:type="dxa"/>
              <w:left w:w="80" w:type="dxa"/>
              <w:bottom w:w="80" w:type="dxa"/>
              <w:right w:w="80" w:type="dxa"/>
            </w:tcMar>
            <w:shd w:fill="F2F5F6"/>
          </w:tcPr>
          <w:p>
            <w:pPr>
              <w:spacing w:after="20" w:before="20" w:line="245" w:lineRule="auto"/>
            </w:pPr>
            <w:r>
              <w:rPr>
                <w:sz w:val="18"/>
              </w:rPr>
              <w:t>18.201227</w:t>
            </w:r>
          </w:p>
        </w:tc>
      </w:tr>
    </w:tbl>
    <w:p>
      <w:pPr>
        <w:spacing w:after="0"/>
      </w:pPr>
    </w:p>
    <w:p>
      <w:r>
        <w:t>The full-axis bus shunt vector and reactor ledger preserve this placement. Internal section buses remain passive nodes with zero prescribed injection, so their fixed shunts stay in the exact admittance reduction. This repair retains the inherited network R/X/B, fixed shunts, voltage limits and PV setpoints. The new hourly hydro and PV20 inputs change injections without adding AC branches or numerical section buses.</w:t>
      </w:r>
    </w:p>
    <w:p>
      <w:r>
        <w:br w:type="page"/>
      </w:r>
    </w:p>
    <w:p>
      <w:pPr>
        <w:pStyle w:val="Heading1"/>
      </w:pPr>
      <w:r>
        <w:t>Generation and controlled transfers</w:t>
      </w:r>
    </w:p>
    <w:p>
      <w:r>
        <w:t>The 1,466 generator rows contain 1,437 native resource rows, 27 external regional loss participants, one signed HQ equivalent and one fixed PV20 boundary injection. Row 1,465 adds the dated St Lawrence unit 21; row 1,466 represents PV20. Existing row identities remain stable. Multiple rows can share a bus. Hourly active-power schedules, capability bounds and status use a fixed row axis; the active count changes with the hour.</w:t>
      </w:r>
    </w:p>
    <w:p>
      <w:pPr>
        <w:pStyle w:val="Heading2"/>
      </w:pPr>
      <w:r>
        <w:t>Active and reactive controls</w:t>
      </w:r>
    </w:p>
    <w:p>
      <w:r>
        <w:t>Native real-power schedules and the signed HQ injection are fixed in the loss-consistent solve. PV20 fixes both P and Q and has zero participation in loss balancing. The 27 ISONE, Ontario and PJM equivalents provide their assigned AC losses using fixed participation weights and finite original real-power bounds. External delivered-load proxies remain fixed. The reference angle is set at bus 50; a numerical reference source is not an unlimited provider of active-power losses.</w:t>
      </w:r>
    </w:p>
    <w:p>
      <w:r>
        <w:t>PV buses retain their stated voltage magnitudes. The solver determines the associated reactive injections without enforcing generator Q limits through bus-type switching. The inherited capability assumptions use a 0.95 power-factor envelope and apparent-power circles where specified. The audit separately checks the 0.95–1.05 pu voltage range, reactive bounds and generator capability.</w:t>
      </w:r>
    </w:p>
    <w:p>
      <w:pPr>
        <w:pStyle w:val="Heading2"/>
      </w:pPr>
      <w:r>
        <w:t>Prescribed exchanges</w:t>
      </w:r>
    </w:p>
    <w:p>
      <w:r>
        <w:t>Six MATPOWER DC-line records prescribe active-power transfers: four external-transfer representations and two Ontario PAR-flow substitutions. They are six modeling records, not six asserted physical HVDC assets. Their scheduled signs, endpoint injections and reactive conventions are retained. Their declared real-power losses are zero in the current accounting policy.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600"/>
        <w:gridCol w:w="3168"/>
        <w:gridCol w:w="3168"/>
      </w:tblGrid>
      <w:tr>
        <w:trPr>
          <w:tblHeader w:val="true"/>
          <w:cantSplit/>
        </w:trPr>
        <w:tc>
          <w:tcPr>
            <w:tcW w:type="dxa" w:w="3600"/>
            <w:vAlign w:val="center"/>
            <w:tcMar>
              <w:top w:w="80" w:type="dxa"/>
              <w:left w:w="80" w:type="dxa"/>
              <w:bottom w:w="80" w:type="dxa"/>
              <w:right w:w="80" w:type="dxa"/>
            </w:tcMar>
            <w:shd w:fill="244253"/>
          </w:tcPr>
          <w:p>
            <w:pPr>
              <w:spacing w:after="20" w:before="20" w:line="245" w:lineRule="auto"/>
            </w:pPr>
            <w:r>
              <w:rPr>
                <w:b/>
                <w:color w:val="FFFFFF"/>
                <w:sz w:val="18"/>
              </w:rPr>
              <w:t>Channel</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from bus</w:t>
            </w:r>
          </w:p>
        </w:tc>
        <w:tc>
          <w:tcPr>
            <w:tcW w:type="dxa" w:w="3168"/>
            <w:vAlign w:val="center"/>
            <w:tcMar>
              <w:top w:w="80" w:type="dxa"/>
              <w:left w:w="80" w:type="dxa"/>
              <w:bottom w:w="80" w:type="dxa"/>
              <w:right w:w="80" w:type="dxa"/>
            </w:tcMar>
            <w:shd w:fill="244253"/>
          </w:tcPr>
          <w:p>
            <w:pPr>
              <w:spacing w:after="20" w:before="20" w:line="245" w:lineRule="auto"/>
            </w:pPr>
            <w:r>
              <w:rPr>
                <w:b/>
                <w:color w:val="FFFFFF"/>
                <w:sz w:val="18"/>
              </w:rPr>
              <w:t>Model to bus</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CSC</w:t>
            </w:r>
          </w:p>
        </w:tc>
        <w:tc>
          <w:tcPr>
            <w:tcW w:type="dxa" w:w="3168"/>
            <w:vAlign w:val="center"/>
            <w:tcMar>
              <w:top w:w="80" w:type="dxa"/>
              <w:left w:w="80" w:type="dxa"/>
              <w:bottom w:w="80" w:type="dxa"/>
              <w:right w:w="80" w:type="dxa"/>
            </w:tcMar>
            <w:shd w:fill="FFFFFF"/>
          </w:tcPr>
          <w:p>
            <w:pPr>
              <w:spacing w:after="20" w:before="20" w:line="245" w:lineRule="auto"/>
            </w:pPr>
            <w:r>
              <w:rPr>
                <w:sz w:val="18"/>
              </w:rPr>
              <w:t>21 MILLSTONE PT</w:t>
            </w:r>
          </w:p>
        </w:tc>
        <w:tc>
          <w:tcPr>
            <w:tcW w:type="dxa" w:w="3168"/>
            <w:vAlign w:val="center"/>
            <w:tcMar>
              <w:top w:w="80" w:type="dxa"/>
              <w:left w:w="80" w:type="dxa"/>
              <w:bottom w:w="80" w:type="dxa"/>
              <w:right w:w="80" w:type="dxa"/>
            </w:tcMar>
            <w:shd w:fill="FFFFFF"/>
          </w:tcPr>
          <w:p>
            <w:pPr>
              <w:spacing w:after="20" w:before="20" w:line="245" w:lineRule="auto"/>
            </w:pPr>
            <w:r>
              <w:rPr>
                <w:sz w:val="18"/>
              </w:rPr>
              <w:t>80 NORTHPORT</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NEPTUNE</w:t>
            </w:r>
          </w:p>
        </w:tc>
        <w:tc>
          <w:tcPr>
            <w:tcW w:type="dxa" w:w="3168"/>
            <w:vAlign w:val="center"/>
            <w:tcMar>
              <w:top w:w="80" w:type="dxa"/>
              <w:left w:w="80" w:type="dxa"/>
              <w:bottom w:w="80" w:type="dxa"/>
              <w:right w:w="80" w:type="dxa"/>
            </w:tcMar>
            <w:shd w:fill="F2F5F6"/>
          </w:tcPr>
          <w:p>
            <w:pPr>
              <w:spacing w:after="20" w:before="20" w:line="245" w:lineRule="auto"/>
            </w:pPr>
            <w:r>
              <w:rPr>
                <w:sz w:val="18"/>
              </w:rPr>
              <w:t>124 BRANCHBURG</w:t>
            </w:r>
          </w:p>
        </w:tc>
        <w:tc>
          <w:tcPr>
            <w:tcW w:type="dxa" w:w="3168"/>
            <w:vAlign w:val="center"/>
            <w:tcMar>
              <w:top w:w="80" w:type="dxa"/>
              <w:left w:w="80" w:type="dxa"/>
              <w:bottom w:w="80" w:type="dxa"/>
              <w:right w:w="80" w:type="dxa"/>
            </w:tcMar>
            <w:shd w:fill="F2F5F6"/>
          </w:tcPr>
          <w:p>
            <w:pPr>
              <w:spacing w:after="20" w:before="20" w:line="245" w:lineRule="auto"/>
            </w:pPr>
            <w:r>
              <w:rPr>
                <w:sz w:val="18"/>
              </w:rPr>
              <w:t>79 RAV A-3</w:t>
            </w:r>
          </w:p>
        </w:tc>
      </w:tr>
      <w:tr>
        <w:trPr>
          <w:cantSplit/>
        </w:trPr>
        <w:tc>
          <w:tcPr>
            <w:tcW w:type="dxa" w:w="3600"/>
            <w:vAlign w:val="center"/>
            <w:tcMar>
              <w:top w:w="80" w:type="dxa"/>
              <w:left w:w="80" w:type="dxa"/>
              <w:bottom w:w="80" w:type="dxa"/>
              <w:right w:w="80" w:type="dxa"/>
            </w:tcMar>
            <w:shd w:fill="FFFFFF"/>
          </w:tcPr>
          <w:p>
            <w:pPr>
              <w:spacing w:after="20" w:before="20" w:line="245" w:lineRule="auto"/>
            </w:pPr>
            <w:r>
              <w:rPr>
                <w:sz w:val="18"/>
              </w:rPr>
              <w:t>HTP and VFT</w:t>
            </w:r>
          </w:p>
        </w:tc>
        <w:tc>
          <w:tcPr>
            <w:tcW w:type="dxa" w:w="3168"/>
            <w:vAlign w:val="center"/>
            <w:tcMar>
              <w:top w:w="80" w:type="dxa"/>
              <w:left w:w="80" w:type="dxa"/>
              <w:bottom w:w="80" w:type="dxa"/>
              <w:right w:w="80" w:type="dxa"/>
            </w:tcMar>
            <w:shd w:fill="FFFFFF"/>
          </w:tcPr>
          <w:p>
            <w:pPr>
              <w:spacing w:after="20" w:before="20" w:line="245" w:lineRule="auto"/>
            </w:pPr>
            <w:r>
              <w:rPr>
                <w:sz w:val="18"/>
              </w:rPr>
              <w:t>125 LINDON</w:t>
            </w:r>
          </w:p>
        </w:tc>
        <w:tc>
          <w:tcPr>
            <w:tcW w:type="dxa" w:w="3168"/>
            <w:vAlign w:val="center"/>
            <w:tcMar>
              <w:top w:w="80" w:type="dxa"/>
              <w:left w:w="80" w:type="dxa"/>
              <w:bottom w:w="80" w:type="dxa"/>
              <w:right w:w="80" w:type="dxa"/>
            </w:tcMar>
            <w:shd w:fill="FFFFFF"/>
          </w:tcPr>
          <w:p>
            <w:pPr>
              <w:spacing w:after="20" w:before="20" w:line="245" w:lineRule="auto"/>
            </w:pPr>
            <w:r>
              <w:rPr>
                <w:sz w:val="18"/>
              </w:rPr>
              <w:t>81 GOETHALS</w:t>
            </w:r>
          </w:p>
        </w:tc>
      </w:tr>
      <w:tr>
        <w:trPr>
          <w:cantSplit/>
        </w:trPr>
        <w:tc>
          <w:tcPr>
            <w:tcW w:type="dxa" w:w="3600"/>
            <w:vAlign w:val="center"/>
            <w:tcMar>
              <w:top w:w="80" w:type="dxa"/>
              <w:left w:w="80" w:type="dxa"/>
              <w:bottom w:w="80" w:type="dxa"/>
              <w:right w:w="80" w:type="dxa"/>
            </w:tcMar>
            <w:shd w:fill="F2F5F6"/>
          </w:tcPr>
          <w:p>
            <w:pPr>
              <w:spacing w:after="20" w:before="20" w:line="245" w:lineRule="auto"/>
            </w:pPr>
            <w:r>
              <w:rPr>
                <w:sz w:val="18"/>
              </w:rPr>
              <w:t>Ontario PAR 25118 and 25119</w:t>
            </w:r>
          </w:p>
        </w:tc>
        <w:tc>
          <w:tcPr>
            <w:tcW w:type="dxa" w:w="3168"/>
            <w:vAlign w:val="center"/>
            <w:tcMar>
              <w:top w:w="80" w:type="dxa"/>
              <w:left w:w="80" w:type="dxa"/>
              <w:bottom w:w="80" w:type="dxa"/>
              <w:right w:w="80" w:type="dxa"/>
            </w:tcMar>
            <w:shd w:fill="F2F5F6"/>
          </w:tcPr>
          <w:p>
            <w:pPr>
              <w:spacing w:after="20" w:before="20" w:line="245" w:lineRule="auto"/>
            </w:pPr>
            <w:r>
              <w:rPr>
                <w:sz w:val="18"/>
              </w:rPr>
              <w:t>100 PHAS</w:t>
            </w:r>
          </w:p>
        </w:tc>
        <w:tc>
          <w:tcPr>
            <w:tcW w:type="dxa" w:w="3168"/>
            <w:vAlign w:val="center"/>
            <w:tcMar>
              <w:top w:w="80" w:type="dxa"/>
              <w:left w:w="80" w:type="dxa"/>
              <w:bottom w:w="80" w:type="dxa"/>
              <w:right w:w="80" w:type="dxa"/>
            </w:tcMar>
            <w:shd w:fill="F2F5F6"/>
          </w:tcPr>
          <w:p>
            <w:pPr>
              <w:spacing w:after="20" w:before="20" w:line="245" w:lineRule="auto"/>
            </w:pPr>
            <w:r>
              <w:rPr>
                <w:sz w:val="18"/>
              </w:rPr>
              <w:t>48 MOSES E</w:t>
            </w:r>
          </w:p>
        </w:tc>
      </w:tr>
    </w:tbl>
    <w:p>
      <w:pPr>
        <w:spacing w:after="0"/>
      </w:pPr>
    </w:p>
    <w:p>
      <w:r>
        <w:t>These are model endpoint buses, not asserted literal asset terminals. Positive transfer is from-to; a negative target reverses it. Endpoint reactive injections are fixed at zero for these six records.</w:t>
      </w:r>
    </w:p>
    <w:p>
      <w:r>
        <w:t>The Ontario substitutions disable the replaced aggregate AC transfer path. In the post-Dover state, two separate parallel PAR-bank records use the bounded hourly phase reconstruction. These prescribed controls condition the power flow; the solve does not optimize their schedules or infer actual tap positions.</w:t>
      </w:r>
    </w:p>
    <w:p>
      <w:pPr>
        <w:pStyle w:val="Heading2"/>
      </w:pPr>
      <w:r>
        <w:t>Meaning of the input dispatch</w:t>
      </w:r>
    </w:p>
    <w:p>
      <w:r>
        <w:t>The native dispatch is source-conditioned and capacity bounded. It is not a unit-commitment solution: ramps, reserves, startup decisions, minimum stable output and storage energy trajectories are not established. External demand and reactive behavior are synthetic assumptions. The model is suitable for controlled research scenarios only when these assumptions are retained or explicitly replaced.</w:t>
      </w:r>
    </w:p>
    <w:p>
      <w:r>
        <w:br w:type="page"/>
      </w:r>
    </w:p>
    <w:p>
      <w:pPr>
        <w:pStyle w:val="Heading1"/>
      </w:pPr>
      <w:r>
        <w:t>St Lawrence hourly allocation</w:t>
      </w:r>
    </w:p>
    <w:p>
      <w:r>
        <w:t>St Lawrence uses the EIA plant 2694 monthly net generation targets, totaling 6,726,939 MWh for 2025. The allocation conserves each local calendar month over all physical hours, including the 109 hours excluded from AC evaluation. The excluded-hour ledger carries latent energy; it does not turn those hours into observed or qualified operating points.</w:t>
      </w:r>
    </w:p>
    <w:p>
      <w:pPr>
        <w:pStyle w:val="Heading2"/>
      </w:pPr>
      <w:r>
        <w:t>Dated units and engineering bounds</w:t>
      </w:r>
    </w:p>
    <w:p>
      <w:r>
        <w:t>The registry retains 16 St Lawrence unit identities with 15 active in each month. Unit 21 is active in January and February while unit 26 is inactive; their admission reverses from March onward. Each active unit has an EIA nameplate of 57 MW, giving an 855 MW engineering ceiling. Plant output is shared equally across the 15 equal-nameplate admitted units. The 2025 Gold Book reports 856 MW summer and 810 MW winter capability; those seasonal values describe a different capability convention and are not treated as hourly net-output measurements.</w:t>
      </w:r>
    </w:p>
    <w:p>
      <w:pPr>
        <w:pStyle w:val="Heading2"/>
      </w:pPr>
      <w:r>
        <w:t>Constrained reconstruction</w:t>
      </w:r>
    </w:p>
    <w:p>
      <w:r>
        <w:t>For each month, a bounded least-squares projection changes the prior hourly St Lawrence plant shape as little as possible while meeting the EIA energy exactly. At each hour, the remaining conventional hydro units absorb the opposite change by a capacity-weighted minimum-change projection within their original bounds. Pumped-storage profiles remain fixed. The independently checked monthly energy error is below 3 × 10⁻¹⁰ MWh and hourly hydro-total closure is below 2 × 10⁻¹¹ MW on the public scale.</w:t>
      </w:r>
    </w:p>
    <w:p>
      <w:r>
        <w:t>The hard hourly total is the current reconciled NYISO hydro profile where available. Raw P63 hydro differs from that total because the existing global balance reconciliation also conditions the other fuel series and imports. Replacing the hard total by raw P63 while freezing those quantities would break the gross-load identity. This choice is recorded in generation_policy.json before any interface scoring.</w:t>
      </w:r>
    </w:p>
    <w:p>
      <w:pPr>
        <w:pStyle w:val="Heading2"/>
      </w:pPr>
      <w:r>
        <w:t>Excluded hours and uncertainty</w:t>
      </w:r>
    </w:p>
    <w:p>
      <w:r>
        <w:t>For excluded hours, the full-year reconstruction uses the frozen prior where available. Ten hours missing P63 use interpolation of the hydro reference vector between adjacent known hours. All 109 hours retain their excluded status. The full8760_generation_ledger.csv, latent_P63_gap_policy.csv and excluded_hour_energy_sensitivity.csv preserve this treatment and its energy effect.</w:t>
      </w:r>
    </w:p>
    <w:p>
      <w:r>
        <w:t>Monthly energy and engineering bounds do not establish the actual hourly St Lawrence dispatch. Several months spend many hours at the 855 MW ceiling, so the resulting shape should be treated as one declared reconstruction. No Moses South observation or interface residual selected the generation projection.</w:t>
      </w:r>
    </w:p>
    <w:p>
      <w:r>
        <w:br w:type="page"/>
      </w:r>
    </w:p>
    <w:p>
      <w:pPr>
        <w:pStyle w:val="Heading1"/>
      </w:pPr>
      <w:r>
        <w:t>Moses boundary and PV20 input</w:t>
      </w:r>
    </w:p>
    <w:p>
      <w:r>
        <w:t>Official seasonal tables describe Moses South using seven North Zone D to Mohawk Valley Zone E circuit entries. The winter 2025–26 definition replaces the Moses–Adirondack entries by Haverstock–Adirondack entries. Formal energization filings date HA2 to 13 October 2025 and HA1 to 27 March 2026. These dates do not establish the operational P32 meter-switch hours. The seasonal tables establish circuit membership and meter ends, but do not certify their mapping to this synthetic network. The package does not add an assumed fourth-quarter physical topology.</w:t>
      </w:r>
    </w:p>
    <w:p>
      <w:pPr>
        <w:pStyle w:val="Heading2"/>
      </w:pPr>
      <w:r>
        <w:t>A separate northern connection</w:t>
      </w:r>
    </w:p>
    <w:p>
      <w:r>
        <w:t>PV20 is a North Zone D to ISO-NE path in addition to the seven Moses South paths. The current model uses the NYISO P34 actual-flow series for PTID 325270, Sand Bar PAR PS01. The source covers every one of the 8,651 eligible hours. The current official diagram defines positive flow toward New York; applying that convention throughout 2025 is an explicit historical-sign assumption.</w:t>
      </w:r>
    </w:p>
    <w:p>
      <w:r>
        <w:t>The physical PV20 gate is metered at Plattsburgh, whereas P34 measures the Sand Bar PAR beyond South Hero. South Hero load and intervening losses are not measured in this package. Therefore Sand Bar is a documented boundary proxy whose equality to the Plattsburgh meter is not certified. A 6.66 MVA South Hero planning peak is contextual evidence, not hourly load to subtract from the flow.</w:t>
      </w:r>
    </w:p>
    <w:p>
      <w:pPr>
        <w:pStyle w:val="Heading2"/>
      </w:pPr>
      <w:r>
        <w:t>Electrical representation</w:t>
      </w:r>
    </w:p>
    <w:p>
      <w:r>
        <w:t>Generator row 1,466 applies the signed P34 input at New York bus 49 with Q = 0. The same active-power amount is removed from the nine existing ISONE injection rows using the frozen regional shares, preserving total ISONE exchange. PV20 is excluded from loss participation and the generic reactive-power sharing. It adds no impedance, thermal conductor or seventh DC-line record. Its Q = 0 assumption does not assert a measured reactive flow.</w:t>
      </w:r>
    </w:p>
    <w:p>
      <w:r>
        <w:t>The aggregate HQ physical interchange and Ontario PAR inputs are preserved and counted once. The source ledger distinguishes HQ wheeling context from physical interchange and treats Massena–Moses connections as internal to the documented northern pocket. Neither an invented MMS transfer nor an unmeasured South Hero correction is added.</w:t>
      </w:r>
    </w:p>
    <w:p>
      <w:r>
        <w:t>The pre-existing signed original-terminal interface operators remain frozen for annual comparison. The PV20 correction improves the modeled northern balance only within these stated source and electrical assumptions. It does not certify the physical seven-term Moses South interface or reconstruct its observed meters.</w:t>
      </w:r>
    </w:p>
    <w:p>
      <w:r>
        <w:br w:type="page"/>
      </w:r>
    </w:p>
    <w:p>
      <w:pPr>
        <w:pStyle w:val="Heading1"/>
      </w:pPr>
      <w:r>
        <w:t>AC equations and exact recovery</w:t>
      </w:r>
    </w:p>
    <w:p>
      <w:r>
        <w:t>Let V be the complex bus-voltage vector, Y the detailed bus-admittance matrix and S the net complex injection on the stated base. The coupled solver evaluates voltage-dependent delivered demand and external loss participation together with the AC equations.</w:t>
      </w:r>
    </w:p>
    <w:p>
      <w:pPr>
        <w:jc w:val="center"/>
      </w:pPr>
      <m:oMathPara>
        <m:oMath>
          <m:r>
            <m:t>S(V) = diag(V) </m:t>
          </m:r>
          <m:sSup>
            <m:e>
              <m:r>
                <m:t>(YV)</m:t>
              </m:r>
            </m:e>
            <m:sup>
              <m:r>
                <m:t>*</m:t>
              </m:r>
            </m:sup>
          </m:sSup>
        </m:oMath>
      </m:oMathPara>
    </w:p>
    <w:p>
      <w:r>
        <w:t>Partition buses into retained r and eliminated e. The eliminated buses have zero independent complex injection under the frozen placement. Their charging and fixed shunts remain in Y. Eliminating those voltages gives a complex-admittance reduction rather than a DC susceptance approximation.</w:t>
      </w:r>
    </w:p>
    <w:p>
      <w:pPr>
        <w:jc w:val="center"/>
      </w:pPr>
      <m:oMathPara>
        <m:oMath>
          <m:sSub>
            <m:e>
              <m:r>
                <m:t>V</m:t>
              </m:r>
            </m:e>
            <m:sub>
              <m:r>
                <m:t>e</m:t>
              </m:r>
            </m:sub>
          </m:sSub>
          <m:r>
            <m:t> = −</m:t>
          </m:r>
          <m:sSup>
            <m:e>
              <m:sSub>
                <m:e>
                  <m:r>
                    <m:t>Y</m:t>
                  </m:r>
                </m:e>
                <m:sub>
                  <m:r>
                    <m:t>ee</m:t>
                  </m:r>
                </m:sub>
              </m:sSub>
            </m:e>
            <m:sup>
              <m:r>
                <m:t>−1</m:t>
              </m:r>
            </m:sup>
          </m:sSup>
          <m:sSub>
            <m:e>
              <m:r>
                <m:t>Y</m:t>
              </m:r>
            </m:e>
            <m:sub>
              <m:r>
                <m:t>er</m:t>
              </m:r>
            </m:sub>
          </m:sSub>
          <m:sSub>
            <m:e>
              <m:r>
                <m:t>V</m:t>
              </m:r>
            </m:e>
            <m:sub>
              <m:r>
                <m:t>r</m:t>
              </m:r>
            </m:sub>
          </m:sSub>
        </m:oMath>
      </m:oMathPara>
    </w:p>
    <w:p>
      <w:pPr>
        <w:jc w:val="center"/>
      </w:pPr>
      <m:oMathPara>
        <m:oMath>
          <m:sSub>
            <m:e>
              <m:r>
                <m:t>Y</m:t>
              </m:r>
            </m:e>
            <m:sub>
              <m:r>
                <m:t>red</m:t>
              </m:r>
            </m:sub>
          </m:sSub>
          <m:r>
            <m:t> = </m:t>
          </m:r>
          <m:sSub>
            <m:e>
              <m:r>
                <m:t>Y</m:t>
              </m:r>
            </m:e>
            <m:sub>
              <m:r>
                <m:t>rr</m:t>
              </m:r>
            </m:sub>
          </m:sSub>
          <m:r>
            <m:t> − </m:t>
          </m:r>
          <m:sSub>
            <m:e>
              <m:r>
                <m:t>Y</m:t>
              </m:r>
            </m:e>
            <m:sub>
              <m:r>
                <m:t>re</m:t>
              </m:r>
            </m:sub>
          </m:sSub>
          <m:sSup>
            <m:e>
              <m:sSub>
                <m:e>
                  <m:r>
                    <m:t>Y</m:t>
                  </m:r>
                </m:e>
                <m:sub>
                  <m:r>
                    <m:t>ee</m:t>
                  </m:r>
                </m:sub>
              </m:sSub>
            </m:e>
            <m:sup>
              <m:r>
                <m:t>−1</m:t>
              </m:r>
            </m:sup>
          </m:sSup>
          <m:sSub>
            <m:e>
              <m:r>
                <m:t>Y</m:t>
              </m:r>
            </m:e>
            <m:sub>
              <m:r>
                <m:t>er</m:t>
              </m:r>
            </m:sub>
          </m:sSub>
        </m:oMath>
      </m:oMathPara>
    </w:p>
    <w:p>
      <w:r>
        <w:t>The 148 retained voltages include a fixed reference angle and controlled PV magnitudes; they are not 296 free real unknowns. Bus types depend on hourly generator admission. A linear lift L reconstructs all detailed voltages. The current operators include branch series admittance, charging, transformer taps and phase shifts, preserving full-network bus and branch ordering.</w:t>
      </w:r>
    </w:p>
    <w:p>
      <w:pPr>
        <w:jc w:val="center"/>
      </w:pPr>
      <m:oMathPara>
        <m:oMath>
          <m:r>
            <m:t>V = L</m:t>
          </m:r>
          <m:sSub>
            <m:e>
              <m:r>
                <m:t>V</m:t>
              </m:r>
            </m:e>
            <m:sub>
              <m:r>
                <m:t>r</m:t>
              </m:r>
            </m:sub>
          </m:sSub>
          <m:r>
            <m:t>;   </m:t>
          </m:r>
          <m:sSub>
            <m:e>
              <m:r>
                <m:t>I</m:t>
              </m:r>
            </m:e>
            <m:sub>
              <m:r>
                <m:t>f</m:t>
              </m:r>
            </m:sub>
          </m:sSub>
          <m:r>
            <m:t> = </m:t>
          </m:r>
          <m:sSub>
            <m:e>
              <m:r>
                <m:t>Y</m:t>
              </m:r>
            </m:e>
            <m:sub>
              <m:r>
                <m:t>f</m:t>
              </m:r>
            </m:sub>
          </m:sSub>
          <m:r>
            <m:t>L</m:t>
          </m:r>
          <m:sSub>
            <m:e>
              <m:r>
                <m:t>V</m:t>
              </m:r>
            </m:e>
            <m:sub>
              <m:r>
                <m:t>r</m:t>
              </m:r>
            </m:sub>
          </m:sSub>
          <m:r>
            <m:t>;   </m:t>
          </m:r>
          <m:sSub>
            <m:e>
              <m:r>
                <m:t>I</m:t>
              </m:r>
            </m:e>
            <m:sub>
              <m:r>
                <m:t>t</m:t>
              </m:r>
            </m:sub>
          </m:sSub>
          <m:r>
            <m:t> = </m:t>
          </m:r>
          <m:sSub>
            <m:e>
              <m:r>
                <m:t>Y</m:t>
              </m:r>
            </m:e>
            <m:sub>
              <m:r>
                <m:t>t</m:t>
              </m:r>
            </m:sub>
          </m:sSub>
          <m:r>
            <m:t>L</m:t>
          </m:r>
          <m:sSub>
            <m:e>
              <m:r>
                <m:t>V</m:t>
              </m:r>
            </m:e>
            <m:sub>
              <m:r>
                <m:t>r</m:t>
              </m:r>
            </m:sub>
          </m:sSub>
        </m:oMath>
      </m:oMathPara>
    </w:p>
    <w:p>
      <w:r>
        <w:t>A separate series-current operator removes the terminal charging contribution for conductor Joule heating. Terminal currents remain relevant to terminal equipment and the declared rating screen. Current conversion uses the nominal voltage at the appropriate endpoint and the three-phase electrical base.</w:t>
      </w:r>
    </w:p>
    <w:p>
      <w:pPr>
        <w:jc w:val="center"/>
      </w:pPr>
      <m:oMathPara>
        <m:oMath>
          <m:sSub>
            <m:e>
              <m:r>
                <m:t>I</m:t>
              </m:r>
            </m:e>
            <m:sub>
              <m:r>
                <m:t>base</m:t>
              </m:r>
            </m:sub>
          </m:sSub>
          <m:r>
            <m:t> = </m:t>
          </m:r>
          <m:f>
            <m:num>
              <m:r>
                <m:t>100 × </m:t>
              </m:r>
              <m:sSup>
                <m:e>
                  <m:r>
                    <m:t>10</m:t>
                  </m:r>
                </m:e>
                <m:sup>
                  <m:r>
                    <m:t>6</m:t>
                  </m:r>
                </m:sup>
              </m:sSup>
            </m:num>
            <m:den>
              <m:r>
                <m:t>√3 × </m:t>
              </m:r>
              <m:sSub>
                <m:e>
                  <m:r>
                    <m:t>V</m:t>
                  </m:r>
                </m:e>
                <m:sub>
                  <m:r>
                    <m:t>base,kV</m:t>
                  </m:r>
                </m:sub>
              </m:sSub>
              <m:r>
                <m:t> × </m:t>
              </m:r>
              <m:sSup>
                <m:e>
                  <m:r>
                    <m:t>10</m:t>
                  </m:r>
                </m:e>
                <m:sup>
                  <m:r>
                    <m:t>3</m:t>
                  </m:r>
                </m:sup>
              </m:sSup>
            </m:den>
          </m:f>
        </m:oMath>
      </m:oMathPara>
    </w:p>
    <w:p>
      <w:r>
        <w:t>All variable loss-dependent injections remain on retained buses. Adding a new load, generator or controller to an eliminated bus changes the reduction contract and requires rebuilding the retained set and operators. Thermal calculations use recovered detailed currents, never reduced admittance edges.</w:t>
      </w:r>
    </w:p>
    <w:p>
      <w:r>
        <w:br w:type="page"/>
      </w:r>
    </w:p>
    <w:p>
      <w:pPr>
        <w:pStyle w:val="Heading1"/>
      </w:pPr>
      <w:r>
        <w:t>Hourly inputs and loss accounting</w:t>
      </w:r>
    </w:p>
    <w:p>
      <w:r>
        <w:t>The model stores one annual axis of 8,760 UTC-referenced timestamps spanning local calendar year 2025. A source mask admits 8,651 hours and excludes 109. The bundle contains zonal and bus demand allocations, generator schedules and bounds, prescribed transfers, phase controls, state IDs and eligibility flags. Excluded hours are not replaced with artificial zero inputs.</w:t>
      </w:r>
    </w:p>
    <w:p>
      <w:pPr>
        <w:pStyle w:val="Heading2"/>
      </w:pPr>
      <w:r>
        <w:t>Power scale and source meaning</w:t>
      </w:r>
    </w:p>
    <w:p>
      <w:r>
        <w:t>The fixed power scale is gamma = 0.30012075175285535, based on a declared 9,561-MW model anchor divided by the 31,857.1773-MW maximum simultaneous public zonal load. Model MW equals gamma times public MW. Aggregate model MW may be divided by gamma for public-series comparison. AC amperes are never divided by gamma.</w:t>
      </w:r>
    </w:p>
    <w:p>
      <w:r>
        <w:t>NY zonal actual load is interpreted as a generation-plus-net-interchange balance. The current model partitions its frozen scaled target into delivered demand and assigned AC losses. Delivered demand is an inferred model quantity, not an observed end-use load series. Within-zone spatial shares and reactive power factors are fixed assumptions.</w:t>
      </w:r>
    </w:p>
    <w:p>
      <w:pPr>
        <w:jc w:val="center"/>
      </w:pPr>
      <m:oMathPara>
        <m:oMath>
          <m:sSub>
            <m:e>
              <m:r>
                <m:t>P</m:t>
              </m:r>
            </m:e>
            <m:sub>
              <m:r>
                <m:t>served,z</m:t>
              </m:r>
            </m:sub>
          </m:sSub>
          <m:r>
            <m:t> + </m:t>
          </m:r>
          <m:sSub>
            <m:e>
              <m:r>
                <m:t>P</m:t>
              </m:r>
            </m:e>
            <m:sub>
              <m:r>
                <m:t>loss,z</m:t>
              </m:r>
            </m:sub>
          </m:sSub>
          <m:r>
            <m:t>(V) = </m:t>
          </m:r>
          <m:sSub>
            <m:e>
              <m:r>
                <m:t>P</m:t>
              </m:r>
            </m:e>
            <m:sub>
              <m:r>
                <m:t>gross,z</m:t>
              </m:r>
            </m:sub>
          </m:sSub>
        </m:oMath>
      </m:oMathPara>
    </w:p>
    <w:p>
      <w:r>
        <w:t>Within-NY corridor losses are shared equally by endpoint zones; a corridor within one zone assigns its full loss there. External internal corridors and NY-border corridors assign their losses to the appropriate external region. HQ is fixed. These are declared accounting rules, not observed meter allocations.</w:t>
      </w:r>
    </w:p>
    <w:p>
      <w:pPr>
        <w:pStyle w:val="Heading2"/>
      </w:pPr>
      <w:r>
        <w:t>Simultaneous numerical solve</w:t>
      </w:r>
    </w:p>
    <w:p>
      <w:r>
        <w:t>The solver jointly updates retained voltages and loss-dependent injections using analytic derivatives and a domain-preserving line search. It rejects negative NY delivered demand and external participation that exceeds finite bounds. It does not clip losses, expand capability or fall back to unlimited reference-generator supply.</w:t>
      </w:r>
    </w:p>
    <w:p>
      <w:r>
        <w:t>Successful accounting requires both the AC equations and regional/boundary identities to close. A failed line search or a delivered-load boundary is a failed attempted solve, not proof that every possible operating solution is infeasible. Failed iterates and excluded source hours must not be treated as valid solved states.</w:t>
      </w:r>
    </w:p>
    <w:p>
      <w:r>
        <w:br w:type="page"/>
      </w:r>
    </w:p>
    <w:p>
      <w:pPr>
        <w:pStyle w:val="Heading1"/>
      </w:pPr>
      <w:r>
        <w:t>Conductor and thermal representation</w:t>
      </w:r>
    </w:p>
    <w:p>
      <w:r>
        <w:t>A synthetic conductor realization is acceptable without identifying an installed circuit. Each accepted overhead realization specifies catalog material, resistance temperature, diameter, GMR, circuit count, bundle count, phase geometry and equivalent length. Its forward resistance and reactance must match the current electrical section. Resistance and reactance are held fixed during selection; charging mismatch is disclosed separately.</w:t>
      </w:r>
    </w:p>
    <w:p>
      <w:pPr>
        <w:jc w:val="center"/>
      </w:pPr>
      <m:oMathPara>
        <m:oMath>
          <m:r>
            <m:t>R = </m:t>
          </m:r>
          <m:f>
            <m:num>
              <m:sSub>
                <m:e>
                  <m:r>
                    <m:t>r</m:t>
                  </m:r>
                </m:e>
                <m:sub>
                  <m:r>
                    <m:t>sub</m:t>
                  </m:r>
                </m:sub>
              </m:sSub>
              <m:r>
                <m:t>(T) ℓ</m:t>
              </m:r>
            </m:num>
            <m:den>
              <m:sSub>
                <m:e>
                  <m:r>
                    <m:t>n</m:t>
                  </m:r>
                </m:e>
                <m:sub>
                  <m:r>
                    <m:t>c</m:t>
                  </m:r>
                </m:sub>
              </m:sSub>
              <m:sSub>
                <m:e>
                  <m:r>
                    <m:t>n</m:t>
                  </m:r>
                </m:e>
                <m:sub>
                  <m:r>
                    <m:t>b</m:t>
                  </m:r>
                </m:sub>
              </m:sSub>
            </m:den>
          </m:f>
          <m:r>
            <m:t>;   X = </m:t>
          </m:r>
          <m:f>
            <m:num>
              <m:r>
                <m:t>2πf × 2 × </m:t>
              </m:r>
              <m:sSup>
                <m:e>
                  <m:r>
                    <m:t>10</m:t>
                  </m:r>
                </m:e>
                <m:sup>
                  <m:r>
                    <m:t>−7</m:t>
                  </m:r>
                </m:sup>
              </m:sSup>
              <m:r>
                <m:t> ℓ</m:t>
              </m:r>
            </m:num>
            <m:den>
              <m:sSub>
                <m:e>
                  <m:r>
                    <m:t>n</m:t>
                  </m:r>
                </m:e>
                <m:sub>
                  <m:r>
                    <m:t>c</m:t>
                  </m:r>
                </m:sub>
              </m:sSub>
            </m:den>
          </m:f>
          <m:r>
            <m:t> ln(</m:t>
          </m:r>
          <m:sSub>
            <m:e>
              <m:r>
                <m:t>D</m:t>
              </m:r>
            </m:e>
            <m:sub>
              <m:r>
                <m:t>m</m:t>
              </m:r>
            </m:sub>
          </m:sSub>
          <m:r>
            <m:t> / </m:t>
          </m:r>
          <m:sSub>
            <m:e>
              <m:r>
                <m:t>GMR</m:t>
              </m:r>
            </m:e>
            <m:sub>
              <m:r>
                <m:t>bundle</m:t>
              </m:r>
            </m:sub>
          </m:sSub>
          <m:r>
            <m:t>)</m:t>
          </m:r>
        </m:oMath>
      </m:oMathPara>
    </w:p>
    <w:p>
      <w:r>
        <w:t>Here R and X are ohms, length is metres and r_sub is ohms per metre. Convert per-unit impedance using Z_base = V_base,kV² / baseMVA. n_c counts parallel circuits and n_b counts subconductors per phase. X/R constrains geometry; R fixes length for a chosen multiplicity. Several conductor, bundle, circuit and length combinations may reproduce one R/X pair. Catalog temperature and voltage-dependent geometry/length limits define the admissible synthetic family.</w:t>
      </w:r>
    </w:p>
    <w:p>
      <w:r>
        <w:t>The selector also requires active same-voltage overhead sections with compatible taps, phase shifts and consistent segment metadata. Known cable conflicts at parents 300, 309, 310 and 386 are excluded. Parent 224 fails the current 345-kV catalog/geometry X/R condition; this is a conditional no-fit result, not a universal impossibility proof.</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888"/>
        <w:gridCol w:w="1728"/>
        <w:gridCol w:w="1800"/>
        <w:gridCol w:w="2520"/>
      </w:tblGrid>
      <w:tr>
        <w:trPr>
          <w:tblHeader w:val="true"/>
          <w:cantSplit/>
        </w:trPr>
        <w:tc>
          <w:tcPr>
            <w:tcW w:type="dxa" w:w="3888"/>
            <w:vAlign w:val="center"/>
            <w:tcMar>
              <w:top w:w="80" w:type="dxa"/>
              <w:left w:w="80" w:type="dxa"/>
              <w:bottom w:w="80" w:type="dxa"/>
              <w:right w:w="80" w:type="dxa"/>
            </w:tcMar>
            <w:shd w:fill="244253"/>
          </w:tcPr>
          <w:p>
            <w:pPr>
              <w:spacing w:after="20" w:before="20" w:line="245" w:lineRule="auto"/>
            </w:pPr>
            <w:r>
              <w:rPr>
                <w:b/>
                <w:color w:val="FFFFFF"/>
                <w:sz w:val="18"/>
              </w:rPr>
              <w:t>Runtime topology</w:t>
            </w:r>
          </w:p>
        </w:tc>
        <w:tc>
          <w:tcPr>
            <w:tcW w:type="dxa" w:w="1728"/>
            <w:vAlign w:val="center"/>
            <w:tcMar>
              <w:top w:w="80" w:type="dxa"/>
              <w:left w:w="80" w:type="dxa"/>
              <w:bottom w:w="80" w:type="dxa"/>
              <w:right w:w="80" w:type="dxa"/>
            </w:tcMar>
            <w:shd w:fill="244253"/>
          </w:tcPr>
          <w:p>
            <w:pPr>
              <w:spacing w:after="20" w:before="20" w:line="245" w:lineRule="auto"/>
            </w:pPr>
            <w:r>
              <w:rPr>
                <w:b/>
                <w:color w:val="FFFFFF"/>
                <w:sz w:val="18"/>
              </w:rPr>
              <w:t>Eligible parents</w:t>
            </w:r>
          </w:p>
        </w:tc>
        <w:tc>
          <w:tcPr>
            <w:tcW w:type="dxa" w:w="1800"/>
            <w:vAlign w:val="center"/>
            <w:tcMar>
              <w:top w:w="80" w:type="dxa"/>
              <w:left w:w="80" w:type="dxa"/>
              <w:bottom w:w="80" w:type="dxa"/>
              <w:right w:w="80" w:type="dxa"/>
            </w:tcMar>
            <w:shd w:fill="244253"/>
          </w:tcPr>
          <w:p>
            <w:pPr>
              <w:spacing w:after="20" w:before="20" w:line="245" w:lineRule="auto"/>
            </w:pPr>
            <w:r>
              <w:rPr>
                <w:b/>
                <w:color w:val="FFFFFF"/>
                <w:sz w:val="18"/>
              </w:rPr>
              <w:t>Branch rows</w:t>
            </w:r>
          </w:p>
        </w:tc>
        <w:tc>
          <w:tcPr>
            <w:tcW w:type="dxa" w:w="2520"/>
            <w:vAlign w:val="center"/>
            <w:tcMar>
              <w:top w:w="80" w:type="dxa"/>
              <w:left w:w="80" w:type="dxa"/>
              <w:bottom w:w="80" w:type="dxa"/>
              <w:right w:w="80" w:type="dxa"/>
            </w:tcMar>
            <w:shd w:fill="244253"/>
          </w:tcPr>
          <w:p>
            <w:pPr>
              <w:spacing w:after="20" w:before="20" w:line="245" w:lineRule="auto"/>
            </w:pPr>
            <w:r>
              <w:rPr>
                <w:b/>
                <w:color w:val="FFFFFF"/>
                <w:sz w:val="18"/>
              </w:rPr>
              <w:t>Material segments</w:t>
            </w:r>
          </w:p>
        </w:tc>
      </w:tr>
      <w:tr>
        <w:trPr>
          <w:cantSplit/>
        </w:trPr>
        <w:tc>
          <w:tcPr>
            <w:tcW w:type="dxa" w:w="3888"/>
            <w:vAlign w:val="center"/>
            <w:tcMar>
              <w:top w:w="80" w:type="dxa"/>
              <w:left w:w="80" w:type="dxa"/>
              <w:bottom w:w="80" w:type="dxa"/>
              <w:right w:w="80" w:type="dxa"/>
            </w:tcMar>
            <w:shd w:fill="FFFFFF"/>
          </w:tcPr>
          <w:p>
            <w:pPr>
              <w:spacing w:after="20" w:before="20" w:line="245" w:lineRule="auto"/>
            </w:pPr>
            <w:r>
              <w:rPr>
                <w:sz w:val="18"/>
              </w:rPr>
              <w:t>Before full-service Dover</w:t>
            </w:r>
          </w:p>
        </w:tc>
        <w:tc>
          <w:tcPr>
            <w:tcW w:type="dxa" w:w="1728"/>
            <w:vAlign w:val="center"/>
            <w:tcMar>
              <w:top w:w="80" w:type="dxa"/>
              <w:left w:w="80" w:type="dxa"/>
              <w:bottom w:w="80" w:type="dxa"/>
              <w:right w:w="80" w:type="dxa"/>
            </w:tcMar>
            <w:shd w:fill="FFFFFF"/>
          </w:tcPr>
          <w:p>
            <w:pPr>
              <w:spacing w:after="20" w:before="20" w:line="245" w:lineRule="auto"/>
            </w:pPr>
            <w:r>
              <w:rPr>
                <w:sz w:val="18"/>
              </w:rPr>
              <w:t>179</w:t>
            </w:r>
          </w:p>
        </w:tc>
        <w:tc>
          <w:tcPr>
            <w:tcW w:type="dxa" w:w="1800"/>
            <w:vAlign w:val="center"/>
            <w:tcMar>
              <w:top w:w="80" w:type="dxa"/>
              <w:left w:w="80" w:type="dxa"/>
              <w:bottom w:w="80" w:type="dxa"/>
              <w:right w:w="80" w:type="dxa"/>
            </w:tcMar>
            <w:shd w:fill="FFFFFF"/>
          </w:tcPr>
          <w:p>
            <w:pPr>
              <w:spacing w:after="20" w:before="20" w:line="245" w:lineRule="auto"/>
            </w:pPr>
            <w:r>
              <w:rPr>
                <w:sz w:val="18"/>
              </w:rPr>
              <w:t>251</w:t>
            </w:r>
          </w:p>
        </w:tc>
        <w:tc>
          <w:tcPr>
            <w:tcW w:type="dxa" w:w="2520"/>
            <w:vAlign w:val="center"/>
            <w:tcMar>
              <w:top w:w="80" w:type="dxa"/>
              <w:left w:w="80" w:type="dxa"/>
              <w:bottom w:w="80" w:type="dxa"/>
              <w:right w:w="80" w:type="dxa"/>
            </w:tcMar>
            <w:shd w:fill="FFFFFF"/>
          </w:tcPr>
          <w:p>
            <w:pPr>
              <w:spacing w:after="20" w:before="20" w:line="245" w:lineRule="auto"/>
            </w:pPr>
            <w:r>
              <w:rPr>
                <w:sz w:val="18"/>
              </w:rPr>
              <w:t>251</w:t>
            </w:r>
          </w:p>
        </w:tc>
      </w:tr>
      <w:tr>
        <w:trPr>
          <w:cantSplit/>
        </w:trPr>
        <w:tc>
          <w:tcPr>
            <w:tcW w:type="dxa" w:w="3888"/>
            <w:vAlign w:val="center"/>
            <w:tcMar>
              <w:top w:w="80" w:type="dxa"/>
              <w:left w:w="80" w:type="dxa"/>
              <w:bottom w:w="80" w:type="dxa"/>
              <w:right w:w="80" w:type="dxa"/>
            </w:tcMar>
            <w:shd w:fill="F2F5F6"/>
          </w:tcPr>
          <w:p>
            <w:pPr>
              <w:spacing w:after="20" w:before="20" w:line="245" w:lineRule="auto"/>
            </w:pPr>
            <w:r>
              <w:rPr>
                <w:sz w:val="18"/>
              </w:rPr>
              <w:t>After full-service Dover</w:t>
            </w:r>
          </w:p>
        </w:tc>
        <w:tc>
          <w:tcPr>
            <w:tcW w:type="dxa" w:w="1728"/>
            <w:vAlign w:val="center"/>
            <w:tcMar>
              <w:top w:w="80" w:type="dxa"/>
              <w:left w:w="80" w:type="dxa"/>
              <w:bottom w:w="80" w:type="dxa"/>
              <w:right w:w="80" w:type="dxa"/>
            </w:tcMar>
            <w:shd w:fill="F2F5F6"/>
          </w:tcPr>
          <w:p>
            <w:pPr>
              <w:spacing w:after="20" w:before="20" w:line="245" w:lineRule="auto"/>
            </w:pPr>
            <w:r>
              <w:rPr>
                <w:sz w:val="18"/>
              </w:rPr>
              <w:t>180</w:t>
            </w:r>
          </w:p>
        </w:tc>
        <w:tc>
          <w:tcPr>
            <w:tcW w:type="dxa" w:w="1800"/>
            <w:vAlign w:val="center"/>
            <w:tcMar>
              <w:top w:w="80" w:type="dxa"/>
              <w:left w:w="80" w:type="dxa"/>
              <w:bottom w:w="80" w:type="dxa"/>
              <w:right w:w="80" w:type="dxa"/>
            </w:tcMar>
            <w:shd w:fill="F2F5F6"/>
          </w:tcPr>
          <w:p>
            <w:pPr>
              <w:spacing w:after="20" w:before="20" w:line="245" w:lineRule="auto"/>
            </w:pPr>
            <w:r>
              <w:rPr>
                <w:sz w:val="18"/>
              </w:rPr>
              <w:t>252</w:t>
            </w:r>
          </w:p>
        </w:tc>
        <w:tc>
          <w:tcPr>
            <w:tcW w:type="dxa" w:w="2520"/>
            <w:vAlign w:val="center"/>
            <w:tcMar>
              <w:top w:w="80" w:type="dxa"/>
              <w:left w:w="80" w:type="dxa"/>
              <w:bottom w:w="80" w:type="dxa"/>
              <w:right w:w="80" w:type="dxa"/>
            </w:tcMar>
            <w:shd w:fill="F2F5F6"/>
          </w:tcPr>
          <w:p>
            <w:pPr>
              <w:spacing w:after="20" w:before="20" w:line="245" w:lineRule="auto"/>
            </w:pPr>
            <w:r>
              <w:rPr>
                <w:sz w:val="18"/>
              </w:rPr>
              <w:t>253</w:t>
            </w:r>
          </w:p>
        </w:tc>
      </w:tr>
    </w:tbl>
    <w:p>
      <w:pPr>
        <w:spacing w:after="0"/>
      </w:pPr>
    </w:p>
    <w:p>
      <w:r>
        <w:t>Current electrical parameters include both realizations preserving imported R/X and declared engineering constructions. The eligibility ledger records that distinction. The screen does not change either category merely to produce an acceptable thermal utilization.</w:t>
      </w:r>
    </w:p>
    <w:p>
      <w:pPr>
        <w:jc w:val="center"/>
      </w:pPr>
      <m:oMathPara>
        <m:oMath>
          <m:sSup>
            <m:e>
              <m:sSub>
                <m:e>
                  <m:r>
                    <m:t>I</m:t>
                  </m:r>
                </m:e>
                <m:sub>
                  <m:r>
                    <m:t>sub</m:t>
                  </m:r>
                </m:sub>
              </m:sSub>
            </m:e>
            <m:sup>
              <m:r>
                <m:t>2</m:t>
              </m:r>
            </m:sup>
          </m:sSup>
          <m:sSub>
            <m:e>
              <m:r>
                <m:t>r</m:t>
              </m:r>
            </m:e>
            <m:sub>
              <m:r>
                <m:t>sub</m:t>
              </m:r>
            </m:sub>
          </m:sSub>
          <m:r>
            <m:t>(T) + </m:t>
          </m:r>
          <m:sSub>
            <m:e>
              <m:r>
                <m:t>q</m:t>
              </m:r>
            </m:e>
            <m:sub>
              <m:r>
                <m:t>solar</m:t>
              </m:r>
            </m:sub>
          </m:sSub>
          <m:r>
            <m:t> = </m:t>
          </m:r>
          <m:sSub>
            <m:e>
              <m:r>
                <m:t>q</m:t>
              </m:r>
            </m:e>
            <m:sub>
              <m:r>
                <m:t>conv</m:t>
              </m:r>
            </m:sub>
          </m:sSub>
          <m:r>
            <m:t>(T) + </m:t>
          </m:r>
          <m:sSub>
            <m:e>
              <m:r>
                <m:t>q</m:t>
              </m:r>
            </m:e>
            <m:sub>
              <m:r>
                <m:t>rad</m:t>
              </m:r>
            </m:sub>
          </m:sSub>
          <m:r>
            <m:t>(T)</m:t>
          </m:r>
        </m:oMath>
      </m:oMathPara>
    </w:p>
    <w:p>
      <w:r>
        <w:t>Explicit air temperature, wind speed, wind angle, solar irradiance and pressure drive the steady heat balance. Conductor current is the recovered series current divided by n_c n_b. Material segments sharing one lumped series element share that element current; successive electrical pi sections use their own recovered currents. The segment temperature limit determines ampacity. This is a one-way thermal screen, not an R(T)-coupled power flow or DLR optimization.</w:t>
      </w:r>
    </w:p>
    <w:p>
      <w:r>
        <w:br w:type="page"/>
      </w:r>
    </w:p>
    <w:p>
      <w:pPr>
        <w:pStyle w:val="Heading1"/>
      </w:pPr>
      <w:r>
        <w:t>Data axes and interpretation limits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96"/>
        <w:gridCol w:w="6840"/>
      </w:tblGrid>
      <w:tr>
        <w:trPr>
          <w:tblHeader w:val="true"/>
          <w:cantSplit/>
        </w:trPr>
        <w:tc>
          <w:tcPr>
            <w:tcW w:type="dxa" w:w="3096"/>
            <w:vAlign w:val="center"/>
            <w:tcMar>
              <w:top w:w="80" w:type="dxa"/>
              <w:left w:w="80" w:type="dxa"/>
              <w:bottom w:w="80" w:type="dxa"/>
              <w:right w:w="80" w:type="dxa"/>
            </w:tcMar>
            <w:shd w:fill="244253"/>
          </w:tcPr>
          <w:p>
            <w:pPr>
              <w:spacing w:after="20" w:before="20" w:line="245" w:lineRule="auto"/>
            </w:pPr>
            <w:r>
              <w:rPr>
                <w:b/>
                <w:color w:val="FFFFFF"/>
                <w:sz w:val="18"/>
              </w:rPr>
              <w:t>Object or axis</w:t>
            </w:r>
          </w:p>
        </w:tc>
        <w:tc>
          <w:tcPr>
            <w:tcW w:type="dxa" w:w="6840"/>
            <w:vAlign w:val="center"/>
            <w:tcMar>
              <w:top w:w="80" w:type="dxa"/>
              <w:left w:w="80" w:type="dxa"/>
              <w:bottom w:w="80" w:type="dxa"/>
              <w:right w:w="80" w:type="dxa"/>
            </w:tcMar>
            <w:shd w:fill="244253"/>
          </w:tcPr>
          <w:p>
            <w:pPr>
              <w:spacing w:after="20" w:before="20" w:line="245" w:lineRule="auto"/>
            </w:pPr>
            <w:r>
              <w:rPr>
                <w:b/>
                <w:color w:val="FFFFFF"/>
                <w:sz w:val="18"/>
              </w:rPr>
              <w:t>Meaning</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148 retained bus rows</w:t>
            </w:r>
          </w:p>
        </w:tc>
        <w:tc>
          <w:tcPr>
            <w:tcW w:type="dxa" w:w="6840"/>
            <w:vAlign w:val="center"/>
            <w:tcMar>
              <w:top w:w="80" w:type="dxa"/>
              <w:left w:w="80" w:type="dxa"/>
              <w:bottom w:w="80" w:type="dxa"/>
              <w:right w:w="80" w:type="dxa"/>
            </w:tcMar>
            <w:shd w:fill="FFFFFF"/>
          </w:tcPr>
          <w:p>
            <w:pPr>
              <w:spacing w:after="20" w:before="20" w:line="245" w:lineRule="auto"/>
            </w:pPr>
            <w:r>
              <w:rPr>
                <w:sz w:val="18"/>
              </w:rPr>
              <w:t>Bus IDs and retained voltages; row number is not the bus ID.</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Detailed bus and branch rows</w:t>
            </w:r>
          </w:p>
        </w:tc>
        <w:tc>
          <w:tcPr>
            <w:tcW w:type="dxa" w:w="6840"/>
            <w:vAlign w:val="center"/>
            <w:tcMar>
              <w:top w:w="80" w:type="dxa"/>
              <w:left w:w="80" w:type="dxa"/>
              <w:bottom w:w="80" w:type="dxa"/>
              <w:right w:w="80" w:type="dxa"/>
            </w:tcMar>
            <w:shd w:fill="F2F5F6"/>
          </w:tcPr>
          <w:p>
            <w:pPr>
              <w:spacing w:after="20" w:before="20" w:line="245" w:lineRule="auto"/>
            </w:pPr>
            <w:r>
              <w:rPr>
                <w:sz w:val="18"/>
              </w:rPr>
              <w:t>266/267 voltages and 485/488 original-section currents for the selected state.</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1,466 generator rows</w:t>
            </w:r>
          </w:p>
        </w:tc>
        <w:tc>
          <w:tcPr>
            <w:tcW w:type="dxa" w:w="6840"/>
            <w:vAlign w:val="center"/>
            <w:tcMar>
              <w:top w:w="80" w:type="dxa"/>
              <w:left w:w="80" w:type="dxa"/>
              <w:bottom w:w="80" w:type="dxa"/>
              <w:right w:w="80" w:type="dxa"/>
            </w:tcMar>
            <w:shd w:fill="FFFFFF"/>
          </w:tcPr>
          <w:p>
            <w:pPr>
              <w:spacing w:after="20" w:before="20" w:line="245" w:lineRule="auto"/>
            </w:pPr>
            <w:r>
              <w:rPr>
                <w:sz w:val="18"/>
              </w:rPr>
              <w:t>Fixed generator identity axis with dated St Lawrence admission and the PV20 fixed injection.</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Parent and section maps</w:t>
            </w:r>
          </w:p>
        </w:tc>
        <w:tc>
          <w:tcPr>
            <w:tcW w:type="dxa" w:w="6840"/>
            <w:vAlign w:val="center"/>
            <w:tcMar>
              <w:top w:w="80" w:type="dxa"/>
              <w:left w:w="80" w:type="dxa"/>
              <w:bottom w:w="80" w:type="dxa"/>
              <w:right w:w="80" w:type="dxa"/>
            </w:tcMar>
            <w:shd w:fill="F2F5F6"/>
          </w:tcPr>
          <w:p>
            <w:pPr>
              <w:spacing w:after="20" w:before="20" w:line="245" w:lineRule="auto"/>
            </w:pPr>
            <w:r>
              <w:rPr>
                <w:sz w:val="18"/>
              </w:rPr>
              <w:t>Parent ID, branch key, numerical sections and physical terminal markers.</w:t>
            </w:r>
          </w:p>
        </w:tc>
      </w:tr>
      <w:tr>
        <w:trPr>
          <w:cantSplit/>
        </w:trPr>
        <w:tc>
          <w:tcPr>
            <w:tcW w:type="dxa" w:w="3096"/>
            <w:vAlign w:val="center"/>
            <w:tcMar>
              <w:top w:w="80" w:type="dxa"/>
              <w:left w:w="80" w:type="dxa"/>
              <w:bottom w:w="80" w:type="dxa"/>
              <w:right w:w="80" w:type="dxa"/>
            </w:tcMar>
            <w:shd w:fill="FFFFFF"/>
          </w:tcPr>
          <w:p>
            <w:pPr>
              <w:spacing w:after="20" w:before="20" w:line="245" w:lineRule="auto"/>
            </w:pPr>
            <w:r>
              <w:rPr>
                <w:sz w:val="18"/>
              </w:rPr>
              <w:t>Thermal segment rows</w:t>
            </w:r>
          </w:p>
        </w:tc>
        <w:tc>
          <w:tcPr>
            <w:tcW w:type="dxa" w:w="6840"/>
            <w:vAlign w:val="center"/>
            <w:tcMar>
              <w:top w:w="80" w:type="dxa"/>
              <w:left w:w="80" w:type="dxa"/>
              <w:bottom w:w="80" w:type="dxa"/>
              <w:right w:w="80" w:type="dxa"/>
            </w:tcMar>
            <w:shd w:fill="FFFFFF"/>
          </w:tcPr>
          <w:p>
            <w:pPr>
              <w:spacing w:after="20" w:before="20" w:line="245" w:lineRule="auto"/>
            </w:pPr>
            <w:r>
              <w:rPr>
                <w:sz w:val="18"/>
              </w:rPr>
              <w:t>Catalog, geometry, material, reference temperature and section-current membership.</w:t>
            </w:r>
          </w:p>
        </w:tc>
      </w:tr>
      <w:tr>
        <w:trPr>
          <w:cantSplit/>
        </w:trPr>
        <w:tc>
          <w:tcPr>
            <w:tcW w:type="dxa" w:w="3096"/>
            <w:vAlign w:val="center"/>
            <w:tcMar>
              <w:top w:w="80" w:type="dxa"/>
              <w:left w:w="80" w:type="dxa"/>
              <w:bottom w:w="80" w:type="dxa"/>
              <w:right w:w="80" w:type="dxa"/>
            </w:tcMar>
            <w:shd w:fill="F2F5F6"/>
          </w:tcPr>
          <w:p>
            <w:pPr>
              <w:spacing w:after="20" w:before="20" w:line="245" w:lineRule="auto"/>
            </w:pPr>
            <w:r>
              <w:rPr>
                <w:sz w:val="18"/>
              </w:rPr>
              <w:t>Hour index and timestamp</w:t>
            </w:r>
          </w:p>
        </w:tc>
        <w:tc>
          <w:tcPr>
            <w:tcW w:type="dxa" w:w="6840"/>
            <w:vAlign w:val="center"/>
            <w:tcMar>
              <w:top w:w="80" w:type="dxa"/>
              <w:left w:w="80" w:type="dxa"/>
              <w:bottom w:w="80" w:type="dxa"/>
              <w:right w:w="80" w:type="dxa"/>
            </w:tcMar>
            <w:shd w:fill="F2F5F6"/>
          </w:tcPr>
          <w:p>
            <w:pPr>
              <w:spacing w:after="20" w:before="20" w:line="245" w:lineRule="auto"/>
            </w:pPr>
            <w:r>
              <w:rPr>
                <w:sz w:val="18"/>
              </w:rPr>
              <w:t>One of 8,760 positions, accompanied by source eligibility and topology state.</w:t>
            </w:r>
          </w:p>
        </w:tc>
      </w:tr>
    </w:tbl>
    <w:p>
      <w:pPr>
        <w:spacing w:after="0"/>
      </w:pPr>
    </w:p>
    <w:p>
      <w:pPr>
        <w:pStyle w:val="Heading2"/>
      </w:pPr>
      <w:r>
        <w:t>Separate qualification flags</w:t>
      </w:r>
    </w:p>
    <w:p>
      <w:r>
        <w:t>result.success and audit.loss_allocation_gate establish numerical and accounting closure; audit.reduction_and_equation_gate checks recovered detailed equations. audit.VQ_and_generator_assumption_gate checks operating limits; audit.passed additionally requires those limits. Thermal eligibility establishes a synthetic conductor mapping; utilization evaluates specified weather. None of these flags alone establishes all the others.</w:t>
      </w:r>
    </w:p>
    <w:p>
      <w:r>
        <w:t>The source eligibility mask does not certify an AC operating point. A point may satisfy the coupled equations and loss balances while violating the voltage or generator limits, or while exceeding a scenario ampacity. Preserve each qualification flag alongside its outputs rather than combining them into a single unqualified success label.</w:t>
      </w:r>
    </w:p>
    <w:p>
      <w:r>
        <w:t>The model supports reproducible studies of its AC equations, boundary accounting, reduction and assumed conductor thermal behavior. It does not establish actual critical-span weather, installed asset identity, terminal-limited facility ratings, a feasible dispatch history, N−1 security or economic benefit from DLR. Scenario changes must retain the electrical and thermal bases and must be requalified.</w:t>
      </w:r>
    </w:p>
    <w:p>
      <w:pPr>
        <w:pStyle w:val="Heading2"/>
      </w:pPr>
      <w:r>
        <w:t>Machine-readable structure</w:t>
      </w:r>
    </w:p>
    <w:p>
      <w:r>
        <w:t>The package includes the current model bundle and its receipt, model/structure ledgers, DATA_DICTIONARY.md and an integrity manifest. The structure ledgers provide the full bus, parent, section, generator and transfer axes behind this description. START_HERE.md contains the public entry points and execution examples; this document is limited to the model itself.</w:t>
      </w:r>
    </w:p>
    <w:p>
      <w:r>
        <w:br w:type="page"/>
      </w:r>
    </w:p>
    <w:p>
      <w:pPr>
        <w:pStyle w:val="Heading1"/>
      </w:pPr>
      <w:r>
        <w:t>Annual validation and use</w:t>
      </w:r>
    </w:p>
    <w:p>
      <w:r>
        <w:t>The completed fresh annual coupled AC power-flow replay evaluates all 8,651 source-eligible hours on the preserved 8,760-hour axis. The compiled package contains new hourly profile shards for the corrected hydro allocation and the redistribution of ISONE exchange through PV20. The four network states, public comparison operators, observation series, clock, scale and source mask remain frozen.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056"/>
        <w:gridCol w:w="2880"/>
      </w:tblGrid>
      <w:tr>
        <w:trPr>
          <w:tblHeader w:val="true"/>
          <w:cantSplit/>
        </w:trPr>
        <w:tc>
          <w:tcPr>
            <w:tcW w:type="dxa" w:w="7056"/>
            <w:vAlign w:val="center"/>
            <w:tcMar>
              <w:top w:w="80" w:type="dxa"/>
              <w:left w:w="80" w:type="dxa"/>
              <w:bottom w:w="80" w:type="dxa"/>
              <w:right w:w="80" w:type="dxa"/>
            </w:tcMar>
            <w:shd w:fill="244253"/>
          </w:tcPr>
          <w:p>
            <w:pPr>
              <w:spacing w:after="20" w:before="20" w:line="245" w:lineRule="auto"/>
            </w:pPr>
            <w:r>
              <w:rPr>
                <w:b/>
                <w:color w:val="FFFFFF"/>
                <w:sz w:val="18"/>
              </w:rPr>
              <w:t>Qualification measure</w:t>
            </w:r>
          </w:p>
        </w:tc>
        <w:tc>
          <w:tcPr>
            <w:tcW w:type="dxa" w:w="2880"/>
            <w:vAlign w:val="center"/>
            <w:tcMar>
              <w:top w:w="80" w:type="dxa"/>
              <w:left w:w="80" w:type="dxa"/>
              <w:bottom w:w="80" w:type="dxa"/>
              <w:right w:w="80" w:type="dxa"/>
            </w:tcMar>
            <w:shd w:fill="244253"/>
          </w:tcPr>
          <w:p>
            <w:pPr>
              <w:spacing w:after="20" w:before="20" w:line="245" w:lineRule="auto"/>
            </w:pPr>
            <w:r>
              <w:rPr>
                <w:b/>
                <w:color w:val="FFFFFF"/>
                <w:sz w:val="18"/>
              </w:rPr>
              <w:t>Hours</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Full time axis</w:t>
            </w:r>
          </w:p>
        </w:tc>
        <w:tc>
          <w:tcPr>
            <w:tcW w:type="dxa" w:w="2880"/>
            <w:vAlign w:val="center"/>
            <w:tcMar>
              <w:top w:w="80" w:type="dxa"/>
              <w:left w:w="80" w:type="dxa"/>
              <w:bottom w:w="80" w:type="dxa"/>
              <w:right w:w="80" w:type="dxa"/>
            </w:tcMar>
            <w:shd w:fill="FFFFFF"/>
          </w:tcPr>
          <w:p>
            <w:pPr>
              <w:spacing w:after="20" w:before="20" w:line="245" w:lineRule="auto"/>
            </w:pPr>
            <w:r>
              <w:rPr>
                <w:sz w:val="18"/>
              </w:rPr>
              <w:t>8760</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Source eligible</w:t>
            </w:r>
          </w:p>
        </w:tc>
        <w:tc>
          <w:tcPr>
            <w:tcW w:type="dxa" w:w="2880"/>
            <w:vAlign w:val="center"/>
            <w:tcMar>
              <w:top w:w="80" w:type="dxa"/>
              <w:left w:w="80" w:type="dxa"/>
              <w:bottom w:w="80" w:type="dxa"/>
              <w:right w:w="80" w:type="dxa"/>
            </w:tcMar>
            <w:shd w:fill="F2F5F6"/>
          </w:tcPr>
          <w:p>
            <w:pPr>
              <w:spacing w:after="20" w:before="20" w:line="245" w:lineRule="auto"/>
            </w:pPr>
            <w:r>
              <w:rPr>
                <w:sz w:val="18"/>
              </w:rPr>
              <w:t>8651</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AC and loss equations</w:t>
            </w:r>
          </w:p>
        </w:tc>
        <w:tc>
          <w:tcPr>
            <w:tcW w:type="dxa" w:w="2880"/>
            <w:vAlign w:val="center"/>
            <w:tcMar>
              <w:top w:w="80" w:type="dxa"/>
              <w:left w:w="80" w:type="dxa"/>
              <w:bottom w:w="80" w:type="dxa"/>
              <w:right w:w="80" w:type="dxa"/>
            </w:tcMar>
            <w:shd w:fill="FFFFFF"/>
          </w:tcPr>
          <w:p>
            <w:pPr>
              <w:spacing w:after="20" w:before="20" w:line="245" w:lineRule="auto"/>
            </w:pPr>
            <w:r>
              <w:rPr>
                <w:sz w:val="18"/>
              </w:rPr>
              <w:t>8651</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Voltage and generator assumptions</w:t>
            </w:r>
          </w:p>
        </w:tc>
        <w:tc>
          <w:tcPr>
            <w:tcW w:type="dxa" w:w="2880"/>
            <w:vAlign w:val="center"/>
            <w:tcMar>
              <w:top w:w="80" w:type="dxa"/>
              <w:left w:w="80" w:type="dxa"/>
              <w:bottom w:w="80" w:type="dxa"/>
              <w:right w:w="80" w:type="dxa"/>
            </w:tcMar>
            <w:shd w:fill="F2F5F6"/>
          </w:tcPr>
          <w:p>
            <w:pPr>
              <w:spacing w:after="20" w:before="20" w:line="245" w:lineRule="auto"/>
            </w:pPr>
            <w:r>
              <w:rPr>
                <w:sz w:val="18"/>
              </w:rPr>
              <w:t>0</w:t>
            </w:r>
          </w:p>
        </w:tc>
      </w:tr>
      <w:tr>
        <w:trPr>
          <w:cantSplit/>
        </w:trPr>
        <w:tc>
          <w:tcPr>
            <w:tcW w:type="dxa" w:w="7056"/>
            <w:vAlign w:val="center"/>
            <w:tcMar>
              <w:top w:w="80" w:type="dxa"/>
              <w:left w:w="80" w:type="dxa"/>
              <w:bottom w:w="80" w:type="dxa"/>
              <w:right w:w="80" w:type="dxa"/>
            </w:tcMar>
            <w:shd w:fill="FFFFFF"/>
          </w:tcPr>
          <w:p>
            <w:pPr>
              <w:spacing w:after="20" w:before="20" w:line="245" w:lineRule="auto"/>
            </w:pPr>
            <w:r>
              <w:rPr>
                <w:sz w:val="18"/>
              </w:rPr>
              <w:t>Full declared operating gate</w:t>
            </w:r>
          </w:p>
        </w:tc>
        <w:tc>
          <w:tcPr>
            <w:tcW w:type="dxa" w:w="2880"/>
            <w:vAlign w:val="center"/>
            <w:tcMar>
              <w:top w:w="80" w:type="dxa"/>
              <w:left w:w="80" w:type="dxa"/>
              <w:bottom w:w="80" w:type="dxa"/>
              <w:right w:w="80" w:type="dxa"/>
            </w:tcMar>
            <w:shd w:fill="FFFFFF"/>
          </w:tcPr>
          <w:p>
            <w:pPr>
              <w:spacing w:after="20" w:before="20" w:line="245" w:lineRule="auto"/>
            </w:pPr>
            <w:r>
              <w:rPr>
                <w:sz w:val="18"/>
              </w:rPr>
              <w:t>0</w:t>
            </w:r>
          </w:p>
        </w:tc>
      </w:tr>
      <w:tr>
        <w:trPr>
          <w:cantSplit/>
        </w:trPr>
        <w:tc>
          <w:tcPr>
            <w:tcW w:type="dxa" w:w="7056"/>
            <w:vAlign w:val="center"/>
            <w:tcMar>
              <w:top w:w="80" w:type="dxa"/>
              <w:left w:w="80" w:type="dxa"/>
              <w:bottom w:w="80" w:type="dxa"/>
              <w:right w:w="80" w:type="dxa"/>
            </w:tcMar>
            <w:shd w:fill="F2F5F6"/>
          </w:tcPr>
          <w:p>
            <w:pPr>
              <w:spacing w:after="20" w:before="20" w:line="245" w:lineRule="auto"/>
            </w:pPr>
            <w:r>
              <w:rPr>
                <w:sz w:val="18"/>
              </w:rPr>
              <w:t>Solver exceptions</w:t>
            </w:r>
          </w:p>
        </w:tc>
        <w:tc>
          <w:tcPr>
            <w:tcW w:type="dxa" w:w="2880"/>
            <w:vAlign w:val="center"/>
            <w:tcMar>
              <w:top w:w="80" w:type="dxa"/>
              <w:left w:w="80" w:type="dxa"/>
              <w:bottom w:w="80" w:type="dxa"/>
              <w:right w:w="80" w:type="dxa"/>
            </w:tcMar>
            <w:shd w:fill="F2F5F6"/>
          </w:tcPr>
          <w:p>
            <w:pPr>
              <w:spacing w:after="20" w:before="20" w:line="245" w:lineRule="auto"/>
            </w:pPr>
            <w:r>
              <w:rPr>
                <w:sz w:val="18"/>
              </w:rPr>
              <w:t>0</w:t>
            </w:r>
          </w:p>
        </w:tc>
      </w:tr>
    </w:tbl>
    <w:p>
      <w:pPr>
        <w:spacing w:after="0"/>
      </w:pPr>
    </w:p>
    <w:p>
      <w:r>
        <w:t>These flags answer different questions. Equation and loss closure supports a numerical flow result. Voltage, reactive and generator apparent-power checks test the declared operating assumptions. The full operating gate also includes the remaining modeled equipment and transfer checks. No count establishes installed facility ratings, actual dispatch feasibility, contingencies or an economic benefit from dynamic line rating.</w:t>
      </w:r>
    </w:p>
    <w:p>
      <w:r>
        <w:t>The offline map shows predicted interface flows, delivered zonal load and assigned losses only where the equation and loss mask passes. Frozen gross load, native generation and prescribed transfers use the source mask. Failed iterates and source-excluded hours remain unavailable rather than being interpolated or shown as zero.</w:t>
      </w:r>
    </w:p>
    <w:p>
      <w:r>
        <w:t>The annual comparison uses the same signed original-terminal interface operators and divides aggregate model MW by the fixed gamma for the public comparison. Separate files preserve the paired baseline cohort, new successful hours, lost successes and all-success cohort. Differences across cohorts must not be interpreted as paired model changes.</w:t>
      </w:r>
    </w:p>
    <w:p>
      <w:r>
        <w:t>Exact model and candidate hashes, the annual and scoring receipts, structure ledgers and runtime checks are supplied with the package. The original baseline model and its earlier manual remain in the preserved baseline archive. The current package contains the corrected model described here.</w:t>
      </w:r>
    </w:p>
    <w:sectPr w:rsidR="00FC693F" w:rsidRPr="0006063C" w:rsidSect="00034616">
      <w:headerReference w:type="default" r:id="rId9"/>
      <w:footerReference w:type="default" r:id="rId10"/>
      <w:pgSz w:w="12240" w:h="15840"/>
      <w:pgMar w:top="965" w:right="1152" w:bottom="965"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NYgrid 2025  |  Current model structure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NYgrid 2025 model structure and Moses repair</dc:title>
  <dc:subject>Current electrical and thermal model structure for research</dc:subject>
  <dc:creator>NYgrid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