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Conducted relational data analysis with Neo4j and managed large-scale data using PostgreSQL queries</w:t>
      </w:r>
    </w:p>
    <w:p w14:paraId="76F5C4E7" w14:textId="77777777" w:rsidR="00F55EF9" w:rsidRDefault="00000000">
      <w:pPr>
        <w:pStyle w:val="a4"/>
        <w:numPr>
          <w:ilvl w:val="0"/>
          <w:numId w:val="2"/>
        </w:numPr>
        <w:spacing w:after="22" w:line="248" w:lineRule="auto"/>
      </w:pPr>
      <w:r>
        <w:rPr>
          <w:sz w:val="19"/>
          <w:szCs w:val="19"/>
        </w:rPr>
        <w:t>Built a multi-agent system to forecast the electric-vehicle battery market from hypothetical news scenarios</w:t>
      </w:r>
    </w:p>
    <w:p w14:paraId="4D8FD557" w14:textId="77777777" w:rsidR="00F55EF9" w:rsidRDefault="00000000">
      <w:pPr>
        <w:pStyle w:val="a4"/>
        <w:numPr>
          <w:ilvl w:val="0"/>
          <w:numId w:val="2"/>
        </w:numPr>
        <w:spacing w:after="22" w:line="248"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33770FBB" w14:textId="77777777" w:rsidR="00F55EF9" w:rsidRDefault="00000000">
      <w:pPr>
        <w:spacing w:before="140" w:after="60"/>
      </w:pPr>
      <w:r>
        <w:rPr>
          <w:b/>
          <w:bCs/>
          <w:color w:val="595959"/>
          <w:spacing w:val="20"/>
          <w:sz w:val="18"/>
          <w:szCs w:val="18"/>
        </w:rPr>
        <w:t>AS PRESENTER</w:t>
      </w:r>
    </w:p>
    <w:p w14:paraId="33770FBB" w14:textId="77777777" w:rsidR="00F55EF9" w:rsidRDefault="00000000">
      <w:pPr>
        <w:spacing w:before="140" w:after="60"/>
        <w:ind w:left="200"/>
      </w:pPr>
      <w:r>
        <w:rPr>
          <w:b/>
          <w:bCs/>
          <w:i/>
          <w:color w:val="595959"/>
          <w:spacing w:val="20"/>
          <w:sz w:val="18"/>
          <w:szCs w:val="18"/>
        </w:rPr>
        <w:t>Invited Talk</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21th International Microscopy Congress, Liverpool, United Kingdom (2026)</w:t>
      </w:r>
    </w:p>
    <w:p w14:paraId="33770FBB" w14:textId="77777777" w:rsidR="00F55EF9" w:rsidRDefault="00000000">
      <w:pPr>
        <w:spacing w:before="140" w:after="60"/>
        <w:ind w:left="200"/>
      </w:pPr>
      <w:r>
        <w:rPr>
          <w:b/>
          <w:bCs/>
          <w:i/>
          <w:color w:val="595959"/>
          <w:spacing w:val="20"/>
          <w:sz w:val="18"/>
          <w:szCs w:val="18"/>
        </w:rPr>
        <w:t>Oral</w:t>
      </w:r>
    </w:p>
    <w:p w14:paraId="3F04C9DA"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436D819D"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35095E25"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0F00E3A0"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FE6A97C"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33770FBB" w14:textId="77777777" w:rsidR="00F55EF9" w:rsidRDefault="00000000">
      <w:pPr>
        <w:spacing w:before="140" w:after="60"/>
        <w:ind w:left="200"/>
      </w:pPr>
      <w:r>
        <w:rPr>
          <w:b/>
          <w:bCs/>
          <w:i/>
          <w:color w:val="595959"/>
          <w:spacing w:val="20"/>
          <w:sz w:val="18"/>
          <w:szCs w:val="18"/>
        </w:rPr>
        <w:t>Poster</w:t>
      </w:r>
    </w:p>
    <w:p w14:paraId="48BB70CC" w14:textId="77777777" w:rsidR="00C71645" w:rsidRDefault="00C71645" w:rsidP="00C71645">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21th International Microscopy Congress, Liverpool, United Kingdom (2026)</w:t>
      </w:r>
    </w:p>
    <w:p w14:paraId="33770FBB" w14:textId="77777777" w:rsidR="00F55EF9" w:rsidRDefault="00000000">
      <w:pPr>
        <w:spacing w:before="140" w:after="60"/>
      </w:pPr>
      <w:r>
        <w:rPr>
          <w:b/>
          <w:bCs/>
          <w:color w:val="595959"/>
          <w:spacing w:val="20"/>
          <w:sz w:val="18"/>
          <w:szCs w:val="18"/>
        </w:rPr>
        <w:t>AS CO-AUTHOR</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