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36"/>
        </w:rPr>
        <w:t>健康数据阈值与告警规则</w:t>
        <w:br/>
        <w:t>程序临床依据说明</w:t>
      </w:r>
    </w:p>
    <w:p>
      <w:pPr>
        <w:jc w:val="center"/>
      </w:pPr>
      <w:r>
        <w:rPr>
          <w:rFonts w:ascii="Noto Sans CJK SC" w:hAnsi="Noto Sans CJK SC" w:eastAsia="Noto Sans CJK SC"/>
          <w:color w:val="595959"/>
          <w:sz w:val="22"/>
        </w:rPr>
        <w:t>基于已核实公开指南/权威文件的依据整理版</w:t>
      </w:r>
    </w:p>
    <w:p>
      <w:pPr>
        <w:spacing w:line="276" w:lineRule="auto" w:after="80"/>
      </w:pPr>
      <w:r>
        <w:rPr>
          <w:rFonts w:ascii="Noto Sans CJK SC" w:hAnsi="Noto Sans CJK SC" w:eastAsia="Noto Sans CJK SC"/>
          <w:b w:val="0"/>
          <w:sz w:val="18"/>
        </w:rPr>
        <w:t>版本：v0.1（待临床确认）    日期：2026-06-10    用途：作为健康数据程序阈值与提示规则的临床依据说明草案。</w:t>
      </w:r>
    </w:p>
    <w:p>
      <w:pPr>
        <w:pStyle w:val="Heading1"/>
        <w:spacing w:line="276" w:lineRule="auto" w:after="80"/>
      </w:pPr>
      <w:r>
        <w:rPr>
          <w:rFonts w:ascii="Noto Sans CJK SC" w:hAnsi="Noto Sans CJK SC" w:eastAsia="Noto Sans CJK SC"/>
          <w:b w:val="0"/>
          <w:sz w:val="21"/>
        </w:rPr>
        <w:t>重要声明</w:t>
      </w:r>
    </w:p>
    <w:p>
      <w:pPr>
        <w:pStyle w:val="ListBullet"/>
        <w:spacing w:after="40"/>
      </w:pPr>
      <w:r>
        <w:rPr>
          <w:rFonts w:ascii="Noto Sans CJK SC" w:hAnsi="Noto Sans CJK SC" w:eastAsia="Noto Sans CJK SC"/>
          <w:sz w:val="20"/>
        </w:rPr>
        <w:t>本文件仅整理目前已查找到且可核对的公开指南、共识、监管文件和权威机构建议，用于支持程序阈值设计和临床确认流程；不得作为独立诊断、治疗或患者管理依据。</w:t>
      </w:r>
    </w:p>
    <w:p>
      <w:pPr>
        <w:pStyle w:val="ListBullet"/>
        <w:spacing w:after="40"/>
      </w:pPr>
      <w:r>
        <w:rPr>
          <w:rFonts w:ascii="Noto Sans CJK SC" w:hAnsi="Noto Sans CJK SC" w:eastAsia="Noto Sans CJK SC"/>
          <w:sz w:val="20"/>
        </w:rPr>
        <w:t>所有最终阈值、适用人群、告警等级、提示文案和免责声明，应由具备相应资质的临床人员结合本院规范、患者病史、用药、基础疾病和设备类型进行签字确认。</w:t>
      </w:r>
    </w:p>
    <w:p>
      <w:pPr>
        <w:pStyle w:val="ListBullet"/>
        <w:spacing w:after="40"/>
      </w:pPr>
      <w:r>
        <w:rPr>
          <w:rFonts w:ascii="Noto Sans CJK SC" w:hAnsi="Noto Sans CJK SC" w:eastAsia="Noto Sans CJK SC"/>
          <w:sz w:val="20"/>
        </w:rPr>
        <w:t>程序涉及消费级/腕式设备时，应明确“参考用途、非诊断用途”；异常读数应提示结合症状、复测和就医/联系临床人员，而不是让用户自行调整治疗。</w:t>
      </w:r>
    </w:p>
    <w:p>
      <w:pPr>
        <w:pStyle w:val="Heading1"/>
        <w:spacing w:line="276" w:lineRule="auto" w:after="80"/>
      </w:pPr>
      <w:r>
        <w:rPr>
          <w:rFonts w:ascii="Noto Sans CJK SC" w:hAnsi="Noto Sans CJK SC" w:eastAsia="Noto Sans CJK SC"/>
          <w:b w:val="0"/>
          <w:sz w:val="21"/>
        </w:rPr>
        <w:t>一、依据范围与对应临床确认项</w:t>
      </w:r>
    </w:p>
    <w:p>
      <w:pPr>
        <w:spacing w:line="276" w:lineRule="auto" w:after="80"/>
      </w:pPr>
      <w:r>
        <w:rPr>
          <w:rFonts w:ascii="Noto Sans CJK SC" w:hAnsi="Noto Sans CJK SC" w:eastAsia="Noto Sans CJK SC"/>
          <w:b w:val="0"/>
          <w:sz w:val="21"/>
        </w:rPr>
        <w:t>本文件对应原《临床确认清单》中的 C1-C15，重点包括：血氧阈值、COPD/高碳酸血症风险人群血氧目标、脉氧精度和设备性质、老年人睡眠/心率/步数阈值、以及提示语和免责声明。</w:t>
      </w:r>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c>
          <w:tcPr>
            <w:tcW w:type="dxa" w:w="1361"/>
            <w:shd w:fill="D9EAF7"/>
            <w:vAlign w:val="center"/>
          </w:tcPr>
          <w:p>
            <w:pPr>
              <w:spacing w:after="0"/>
            </w:pPr>
            <w:r/>
            <w:r>
              <w:rPr>
                <w:rFonts w:ascii="Noto Sans CJK SC" w:hAnsi="Noto Sans CJK SC" w:eastAsia="Noto Sans CJK SC"/>
                <w:b/>
                <w:sz w:val="15"/>
              </w:rPr>
              <w:t>模块</w:t>
            </w:r>
          </w:p>
        </w:tc>
        <w:tc>
          <w:tcPr>
            <w:tcW w:type="dxa" w:w="1474"/>
            <w:shd w:fill="D9EAF7"/>
            <w:vAlign w:val="center"/>
          </w:tcPr>
          <w:p>
            <w:pPr>
              <w:spacing w:after="0"/>
            </w:pPr>
            <w:r/>
            <w:r>
              <w:rPr>
                <w:rFonts w:ascii="Noto Sans CJK SC" w:hAnsi="Noto Sans CJK SC" w:eastAsia="Noto Sans CJK SC"/>
                <w:b/>
                <w:sz w:val="15"/>
              </w:rPr>
              <w:t>对应确认项</w:t>
            </w:r>
          </w:p>
        </w:tc>
        <w:tc>
          <w:tcPr>
            <w:tcW w:type="dxa" w:w="3515"/>
            <w:shd w:fill="D9EAF7"/>
            <w:vAlign w:val="center"/>
          </w:tcPr>
          <w:p>
            <w:pPr>
              <w:spacing w:after="0"/>
            </w:pPr>
            <w:r/>
            <w:r>
              <w:rPr>
                <w:rFonts w:ascii="Noto Sans CJK SC" w:hAnsi="Noto Sans CJK SC" w:eastAsia="Noto Sans CJK SC"/>
                <w:b/>
                <w:sz w:val="15"/>
              </w:rPr>
              <w:t>当前程序/清单中的问题</w:t>
            </w:r>
          </w:p>
        </w:tc>
        <w:tc>
          <w:tcPr>
            <w:tcW w:type="dxa" w:w="3969"/>
            <w:shd w:fill="D9EAF7"/>
            <w:vAlign w:val="center"/>
          </w:tcPr>
          <w:p>
            <w:pPr>
              <w:spacing w:after="0"/>
            </w:pPr>
            <w:r/>
            <w:r>
              <w:rPr>
                <w:rFonts w:ascii="Noto Sans CJK SC" w:hAnsi="Noto Sans CJK SC" w:eastAsia="Noto Sans CJK SC"/>
                <w:b/>
                <w:sz w:val="15"/>
              </w:rPr>
              <w:t>本文件处理方式</w:t>
            </w:r>
          </w:p>
        </w:tc>
      </w:tr>
      <w:tr>
        <w:tc>
          <w:tcPr>
            <w:tcW w:type="dxa" w:w="1361"/>
            <w:vAlign w:val="top"/>
          </w:tcPr>
          <w:p>
            <w:pPr>
              <w:spacing w:after="0"/>
            </w:pPr>
            <w:r/>
            <w:r>
              <w:rPr>
                <w:rFonts w:ascii="Noto Sans CJK SC" w:hAnsi="Noto Sans CJK SC" w:eastAsia="Noto Sans CJK SC"/>
                <w:b w:val="0"/>
                <w:sz w:val="15"/>
              </w:rPr>
              <w:t>血氧 SpO2</w:t>
            </w:r>
          </w:p>
        </w:tc>
        <w:tc>
          <w:tcPr>
            <w:tcW w:type="dxa" w:w="1474"/>
            <w:vAlign w:val="top"/>
          </w:tcPr>
          <w:p>
            <w:pPr>
              <w:spacing w:after="0"/>
            </w:pPr>
            <w:r/>
            <w:r>
              <w:rPr>
                <w:rFonts w:ascii="Noto Sans CJK SC" w:hAnsi="Noto Sans CJK SC" w:eastAsia="Noto Sans CJK SC"/>
                <w:b w:val="0"/>
                <w:sz w:val="15"/>
              </w:rPr>
              <w:t>C1-C4, C12-C13</w:t>
            </w:r>
          </w:p>
        </w:tc>
        <w:tc>
          <w:tcPr>
            <w:tcW w:type="dxa" w:w="3515"/>
            <w:vAlign w:val="top"/>
          </w:tcPr>
          <w:p>
            <w:pPr>
              <w:spacing w:after="0"/>
            </w:pPr>
            <w:r/>
            <w:r>
              <w:rPr>
                <w:rFonts w:ascii="Noto Sans CJK SC" w:hAnsi="Noto Sans CJK SC" w:eastAsia="Noto Sans CJK SC"/>
                <w:b w:val="0"/>
                <w:sz w:val="15"/>
              </w:rPr>
              <w:t>通用 &lt;90%、&lt;95%；COPD &lt;88%、&lt;92%；BTS/GOLD 章节待核实</w:t>
            </w:r>
          </w:p>
        </w:tc>
        <w:tc>
          <w:tcPr>
            <w:tcW w:type="dxa" w:w="3969"/>
            <w:vAlign w:val="top"/>
          </w:tcPr>
          <w:p>
            <w:pPr>
              <w:spacing w:after="0"/>
            </w:pPr>
            <w:r/>
            <w:r>
              <w:rPr>
                <w:rFonts w:ascii="Noto Sans CJK SC" w:hAnsi="Noto Sans CJK SC" w:eastAsia="Noto Sans CJK SC"/>
                <w:b w:val="0"/>
                <w:sz w:val="15"/>
              </w:rPr>
              <w:t>列出中国、BTS、ATS/GOLD相关依据，并区分“氧疗目标/诊疗标准”与“程序提醒阈值”。</w:t>
            </w:r>
          </w:p>
        </w:tc>
      </w:tr>
      <w:tr>
        <w:tc>
          <w:tcPr>
            <w:tcW w:type="dxa" w:w="1361"/>
            <w:vAlign w:val="top"/>
          </w:tcPr>
          <w:p>
            <w:pPr>
              <w:spacing w:after="0"/>
            </w:pPr>
            <w:r/>
            <w:r>
              <w:rPr>
                <w:rFonts w:ascii="Noto Sans CJK SC" w:hAnsi="Noto Sans CJK SC" w:eastAsia="Noto Sans CJK SC"/>
                <w:b w:val="0"/>
                <w:sz w:val="15"/>
              </w:rPr>
              <w:t>精度容差和门控</w:t>
            </w:r>
          </w:p>
        </w:tc>
        <w:tc>
          <w:tcPr>
            <w:tcW w:type="dxa" w:w="1474"/>
            <w:vAlign w:val="top"/>
          </w:tcPr>
          <w:p>
            <w:pPr>
              <w:spacing w:after="0"/>
            </w:pPr>
            <w:r/>
            <w:r>
              <w:rPr>
                <w:rFonts w:ascii="Noto Sans CJK SC" w:hAnsi="Noto Sans CJK SC" w:eastAsia="Noto Sans CJK SC"/>
                <w:b w:val="0"/>
                <w:sz w:val="15"/>
              </w:rPr>
              <w:t>C5-C7, C11, C15</w:t>
            </w:r>
          </w:p>
        </w:tc>
        <w:tc>
          <w:tcPr>
            <w:tcW w:type="dxa" w:w="3515"/>
            <w:vAlign w:val="top"/>
          </w:tcPr>
          <w:p>
            <w:pPr>
              <w:spacing w:after="0"/>
            </w:pPr>
            <w:r/>
            <w:r>
              <w:rPr>
                <w:rFonts w:ascii="Noto Sans CJK SC" w:hAnsi="Noto Sans CJK SC" w:eastAsia="Noto Sans CJK SC"/>
                <w:b w:val="0"/>
                <w:sz w:val="15"/>
              </w:rPr>
              <w:t>阈值减2%、COPD叠加至86%、30%门控</w:t>
            </w:r>
          </w:p>
        </w:tc>
        <w:tc>
          <w:tcPr>
            <w:tcW w:type="dxa" w:w="3969"/>
            <w:vAlign w:val="top"/>
          </w:tcPr>
          <w:p>
            <w:pPr>
              <w:spacing w:after="0"/>
            </w:pPr>
            <w:r/>
            <w:r>
              <w:rPr>
                <w:rFonts w:ascii="Noto Sans CJK SC" w:hAnsi="Noto Sans CJK SC" w:eastAsia="Noto Sans CJK SC"/>
                <w:b w:val="0"/>
                <w:sz w:val="15"/>
              </w:rPr>
              <w:t>说明设备精度/监管依据可以支持“存在误差”，但不能直接支持下调阈值或30%门控。</w:t>
            </w:r>
          </w:p>
        </w:tc>
      </w:tr>
      <w:tr>
        <w:tc>
          <w:tcPr>
            <w:tcW w:type="dxa" w:w="1361"/>
            <w:vAlign w:val="top"/>
          </w:tcPr>
          <w:p>
            <w:pPr>
              <w:spacing w:after="0"/>
            </w:pPr>
            <w:r/>
            <w:r>
              <w:rPr>
                <w:rFonts w:ascii="Noto Sans CJK SC" w:hAnsi="Noto Sans CJK SC" w:eastAsia="Noto Sans CJK SC"/>
                <w:b w:val="0"/>
                <w:sz w:val="15"/>
              </w:rPr>
              <w:t>睡眠</w:t>
            </w:r>
          </w:p>
        </w:tc>
        <w:tc>
          <w:tcPr>
            <w:tcW w:type="dxa" w:w="1474"/>
            <w:vAlign w:val="top"/>
          </w:tcPr>
          <w:p>
            <w:pPr>
              <w:spacing w:after="0"/>
            </w:pPr>
            <w:r/>
            <w:r>
              <w:rPr>
                <w:rFonts w:ascii="Noto Sans CJK SC" w:hAnsi="Noto Sans CJK SC" w:eastAsia="Noto Sans CJK SC"/>
                <w:b w:val="0"/>
                <w:sz w:val="15"/>
              </w:rPr>
              <w:t>C8, C14</w:t>
            </w:r>
          </w:p>
        </w:tc>
        <w:tc>
          <w:tcPr>
            <w:tcW w:type="dxa" w:w="3515"/>
            <w:vAlign w:val="top"/>
          </w:tcPr>
          <w:p>
            <w:pPr>
              <w:spacing w:after="0"/>
            </w:pPr>
            <w:r/>
            <w:r>
              <w:rPr>
                <w:rFonts w:ascii="Noto Sans CJK SC" w:hAnsi="Noto Sans CJK SC" w:eastAsia="Noto Sans CJK SC"/>
                <w:b w:val="0"/>
                <w:sz w:val="15"/>
              </w:rPr>
              <w:t>65+ &lt;5.5h 才提示不足；腕式睡眠参考</w:t>
            </w:r>
          </w:p>
        </w:tc>
        <w:tc>
          <w:tcPr>
            <w:tcW w:type="dxa" w:w="3969"/>
            <w:vAlign w:val="top"/>
          </w:tcPr>
          <w:p>
            <w:pPr>
              <w:spacing w:after="0"/>
            </w:pPr>
            <w:r/>
            <w:r>
              <w:rPr>
                <w:rFonts w:ascii="Noto Sans CJK SC" w:hAnsi="Noto Sans CJK SC" w:eastAsia="Noto Sans CJK SC"/>
                <w:b w:val="0"/>
                <w:sz w:val="15"/>
              </w:rPr>
              <w:t>列出 AASM/SRS、NSF 与中国睡眠健康信息，建议避免把腕式睡眠结果表述为诊断。</w:t>
            </w:r>
          </w:p>
        </w:tc>
      </w:tr>
      <w:tr>
        <w:tc>
          <w:tcPr>
            <w:tcW w:type="dxa" w:w="1361"/>
            <w:vAlign w:val="top"/>
          </w:tcPr>
          <w:p>
            <w:pPr>
              <w:spacing w:after="0"/>
            </w:pPr>
            <w:r/>
            <w:r>
              <w:rPr>
                <w:rFonts w:ascii="Noto Sans CJK SC" w:hAnsi="Noto Sans CJK SC" w:eastAsia="Noto Sans CJK SC"/>
                <w:b w:val="0"/>
                <w:sz w:val="15"/>
              </w:rPr>
              <w:t>心率</w:t>
            </w:r>
          </w:p>
        </w:tc>
        <w:tc>
          <w:tcPr>
            <w:tcW w:type="dxa" w:w="1474"/>
            <w:vAlign w:val="top"/>
          </w:tcPr>
          <w:p>
            <w:pPr>
              <w:spacing w:after="0"/>
            </w:pPr>
            <w:r/>
            <w:r>
              <w:rPr>
                <w:rFonts w:ascii="Noto Sans CJK SC" w:hAnsi="Noto Sans CJK SC" w:eastAsia="Noto Sans CJK SC"/>
                <w:b w:val="0"/>
                <w:sz w:val="15"/>
              </w:rPr>
              <w:t>C9</w:t>
            </w:r>
          </w:p>
        </w:tc>
        <w:tc>
          <w:tcPr>
            <w:tcW w:type="dxa" w:w="3515"/>
            <w:vAlign w:val="top"/>
          </w:tcPr>
          <w:p>
            <w:pPr>
              <w:spacing w:after="0"/>
            </w:pPr>
            <w:r/>
            <w:r>
              <w:rPr>
                <w:rFonts w:ascii="Noto Sans CJK SC" w:hAnsi="Noto Sans CJK SC" w:eastAsia="Noto Sans CJK SC"/>
                <w:b w:val="0"/>
                <w:sz w:val="15"/>
              </w:rPr>
              <w:t>静息心率 50-80；β阻滞剂下限45</w:t>
            </w:r>
          </w:p>
        </w:tc>
        <w:tc>
          <w:tcPr>
            <w:tcW w:type="dxa" w:w="3969"/>
            <w:vAlign w:val="top"/>
          </w:tcPr>
          <w:p>
            <w:pPr>
              <w:spacing w:after="0"/>
            </w:pPr>
            <w:r/>
            <w:r>
              <w:rPr>
                <w:rFonts w:ascii="Noto Sans CJK SC" w:hAnsi="Noto Sans CJK SC" w:eastAsia="Noto Sans CJK SC"/>
                <w:b w:val="0"/>
                <w:sz w:val="15"/>
              </w:rPr>
              <w:t>列出 ACC/AHA/HRS 和 ESC 对心动过缓的定义与“需结合症状”的原则。</w:t>
            </w:r>
          </w:p>
        </w:tc>
      </w:tr>
      <w:tr>
        <w:tc>
          <w:tcPr>
            <w:tcW w:type="dxa" w:w="1361"/>
            <w:vAlign w:val="top"/>
          </w:tcPr>
          <w:p>
            <w:pPr>
              <w:spacing w:after="0"/>
            </w:pPr>
            <w:r/>
            <w:r>
              <w:rPr>
                <w:rFonts w:ascii="Noto Sans CJK SC" w:hAnsi="Noto Sans CJK SC" w:eastAsia="Noto Sans CJK SC"/>
                <w:b w:val="0"/>
                <w:sz w:val="15"/>
              </w:rPr>
              <w:t>步数/活动量</w:t>
            </w:r>
          </w:p>
        </w:tc>
        <w:tc>
          <w:tcPr>
            <w:tcW w:type="dxa" w:w="1474"/>
            <w:vAlign w:val="top"/>
          </w:tcPr>
          <w:p>
            <w:pPr>
              <w:spacing w:after="0"/>
            </w:pPr>
            <w:r/>
            <w:r>
              <w:rPr>
                <w:rFonts w:ascii="Noto Sans CJK SC" w:hAnsi="Noto Sans CJK SC" w:eastAsia="Noto Sans CJK SC"/>
                <w:b w:val="0"/>
                <w:sz w:val="15"/>
              </w:rPr>
              <w:t>C10</w:t>
            </w:r>
          </w:p>
        </w:tc>
        <w:tc>
          <w:tcPr>
            <w:tcW w:type="dxa" w:w="3515"/>
            <w:vAlign w:val="top"/>
          </w:tcPr>
          <w:p>
            <w:pPr>
              <w:spacing w:after="0"/>
            </w:pPr>
            <w:r/>
            <w:r>
              <w:rPr>
                <w:rFonts w:ascii="Noto Sans CJK SC" w:hAnsi="Noto Sans CJK SC" w:eastAsia="Noto Sans CJK SC"/>
                <w:b w:val="0"/>
                <w:sz w:val="15"/>
              </w:rPr>
              <w:t>&lt;3000 偏低、&gt;=7000 达标</w:t>
            </w:r>
          </w:p>
        </w:tc>
        <w:tc>
          <w:tcPr>
            <w:tcW w:type="dxa" w:w="3969"/>
            <w:vAlign w:val="top"/>
          </w:tcPr>
          <w:p>
            <w:pPr>
              <w:spacing w:after="0"/>
            </w:pPr>
            <w:r/>
            <w:r>
              <w:rPr>
                <w:rFonts w:ascii="Noto Sans CJK SC" w:hAnsi="Noto Sans CJK SC" w:eastAsia="Noto Sans CJK SC"/>
                <w:b w:val="0"/>
                <w:sz w:val="15"/>
              </w:rPr>
              <w:t>列出 WHO、中国、美国、日本身体活动指南；强调步数目标应个体化。</w:t>
            </w:r>
          </w:p>
        </w:tc>
      </w:tr>
    </w:tbl>
    <w:p/>
    <w:p>
      <w:pPr>
        <w:pStyle w:val="Heading1"/>
        <w:spacing w:line="276" w:lineRule="auto" w:after="80"/>
      </w:pPr>
      <w:r>
        <w:rPr>
          <w:rFonts w:ascii="Noto Sans CJK SC" w:hAnsi="Noto Sans CJK SC" w:eastAsia="Noto Sans CJK SC"/>
          <w:b w:val="0"/>
          <w:sz w:val="21"/>
        </w:rPr>
        <w:t>二、血氧 SpO2 与 COPD 相关依据</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1361"/>
            <w:shd w:fill="D9EAF7"/>
            <w:vAlign w:val="center"/>
          </w:tcPr>
          <w:p>
            <w:pPr>
              <w:spacing w:after="0"/>
            </w:pPr>
            <w:r/>
            <w:r>
              <w:rPr>
                <w:rFonts w:ascii="Noto Sans CJK SC" w:hAnsi="Noto Sans CJK SC" w:eastAsia="Noto Sans CJK SC"/>
                <w:b/>
                <w:sz w:val="14"/>
              </w:rPr>
              <w:t>确认项</w:t>
            </w:r>
          </w:p>
        </w:tc>
        <w:tc>
          <w:tcPr>
            <w:tcW w:type="dxa" w:w="2551"/>
            <w:shd w:fill="D9EAF7"/>
            <w:vAlign w:val="center"/>
          </w:tcPr>
          <w:p>
            <w:pPr>
              <w:spacing w:after="0"/>
            </w:pPr>
            <w:r/>
            <w:r>
              <w:rPr>
                <w:rFonts w:ascii="Noto Sans CJK SC" w:hAnsi="Noto Sans CJK SC" w:eastAsia="Noto Sans CJK SC"/>
                <w:b/>
                <w:sz w:val="14"/>
              </w:rPr>
              <w:t>指南/出处</w:t>
            </w:r>
          </w:p>
        </w:tc>
        <w:tc>
          <w:tcPr>
            <w:tcW w:type="dxa" w:w="2438"/>
            <w:shd w:fill="D9EAF7"/>
            <w:vAlign w:val="center"/>
          </w:tcPr>
          <w:p>
            <w:pPr>
              <w:spacing w:after="0"/>
            </w:pPr>
            <w:r/>
            <w:r>
              <w:rPr>
                <w:rFonts w:ascii="Noto Sans CJK SC" w:hAnsi="Noto Sans CJK SC" w:eastAsia="Noto Sans CJK SC"/>
                <w:b/>
                <w:sz w:val="14"/>
              </w:rPr>
              <w:t>定位</w:t>
            </w:r>
          </w:p>
        </w:tc>
        <w:tc>
          <w:tcPr>
            <w:tcW w:type="dxa" w:w="3118"/>
            <w:shd w:fill="D9EAF7"/>
            <w:vAlign w:val="center"/>
          </w:tcPr>
          <w:p>
            <w:pPr>
              <w:spacing w:after="0"/>
            </w:pPr>
            <w:r/>
            <w:r>
              <w:rPr>
                <w:rFonts w:ascii="Noto Sans CJK SC" w:hAnsi="Noto Sans CJK SC" w:eastAsia="Noto Sans CJK SC"/>
                <w:b/>
                <w:sz w:val="14"/>
              </w:rPr>
              <w:t>核心数值/结论</w:t>
            </w:r>
          </w:p>
        </w:tc>
        <w:tc>
          <w:tcPr>
            <w:tcW w:type="dxa" w:w="3402"/>
            <w:shd w:fill="D9EAF7"/>
            <w:vAlign w:val="center"/>
          </w:tcPr>
          <w:p>
            <w:pPr>
              <w:spacing w:after="0"/>
            </w:pPr>
            <w:r/>
            <w:r>
              <w:rPr>
                <w:rFonts w:ascii="Noto Sans CJK SC" w:hAnsi="Noto Sans CJK SC" w:eastAsia="Noto Sans CJK SC"/>
                <w:b/>
                <w:sz w:val="14"/>
              </w:rPr>
              <w:t>对程序的建议写法</w:t>
            </w:r>
          </w:p>
        </w:tc>
      </w:tr>
      <w:tr>
        <w:tc>
          <w:tcPr>
            <w:tcW w:type="dxa" w:w="1361"/>
            <w:vAlign w:val="top"/>
          </w:tcPr>
          <w:p>
            <w:pPr>
              <w:spacing w:after="0"/>
            </w:pPr>
            <w:r/>
            <w:r>
              <w:rPr>
                <w:rFonts w:ascii="Noto Sans CJK SC" w:hAnsi="Noto Sans CJK SC" w:eastAsia="Noto Sans CJK SC"/>
                <w:b w:val="0"/>
                <w:sz w:val="14"/>
              </w:rPr>
              <w:t>C1 通用 danger &lt;90%</w:t>
            </w:r>
          </w:p>
        </w:tc>
        <w:tc>
          <w:tcPr>
            <w:tcW w:type="dxa" w:w="2551"/>
            <w:vAlign w:val="top"/>
          </w:tcPr>
          <w:p>
            <w:pPr>
              <w:spacing w:after="0"/>
            </w:pPr>
            <w:r/>
            <w:r>
              <w:rPr>
                <w:rFonts w:ascii="Noto Sans CJK SC" w:hAnsi="Noto Sans CJK SC" w:eastAsia="Noto Sans CJK SC"/>
                <w:b w:val="0"/>
                <w:sz w:val="14"/>
              </w:rPr>
              <w:t>BTS 2017/2019 氧疗指南更新</w:t>
            </w:r>
          </w:p>
        </w:tc>
        <w:tc>
          <w:tcPr>
            <w:tcW w:type="dxa" w:w="2438"/>
            <w:vAlign w:val="top"/>
          </w:tcPr>
          <w:p>
            <w:pPr>
              <w:spacing w:after="0"/>
            </w:pPr>
            <w:r/>
            <w:r>
              <w:rPr>
                <w:rFonts w:ascii="Noto Sans CJK SC" w:hAnsi="Noto Sans CJK SC" w:eastAsia="Noto Sans CJK SC"/>
                <w:b w:val="0"/>
                <w:sz w:val="14"/>
              </w:rPr>
              <w:t>BTS 官网 guideline update，目标氧饱和度段落</w:t>
            </w:r>
          </w:p>
        </w:tc>
        <w:tc>
          <w:tcPr>
            <w:tcW w:type="dxa" w:w="3118"/>
            <w:vAlign w:val="top"/>
          </w:tcPr>
          <w:p>
            <w:pPr>
              <w:spacing w:after="0"/>
            </w:pPr>
            <w:r/>
            <w:r>
              <w:rPr>
                <w:rFonts w:ascii="Noto Sans CJK SC" w:hAnsi="Noto Sans CJK SC" w:eastAsia="Noto Sans CJK SC"/>
                <w:b w:val="0"/>
                <w:sz w:val="14"/>
              </w:rPr>
              <w:t>非高碳酸血症风险的急性病人目标 SpO2 94-98%；COPD或高碳酸血症风险目标 88-92%。</w:t>
            </w:r>
          </w:p>
        </w:tc>
        <w:tc>
          <w:tcPr>
            <w:tcW w:type="dxa" w:w="3402"/>
            <w:vAlign w:val="top"/>
          </w:tcPr>
          <w:p>
            <w:pPr>
              <w:spacing w:after="0"/>
            </w:pPr>
            <w:r/>
            <w:r>
              <w:rPr>
                <w:rFonts w:ascii="Noto Sans CJK SC" w:hAnsi="Noto Sans CJK SC" w:eastAsia="Noto Sans CJK SC"/>
                <w:b w:val="0"/>
                <w:sz w:val="14"/>
              </w:rPr>
              <w:t>&lt;90% 可作为明显低氧风险提示线之一，但它不是居家腕式设备唯一的诊断阈值。建议提示“明显偏低/需复测并关注症状”。</w:t>
            </w:r>
          </w:p>
        </w:tc>
      </w:tr>
      <w:tr>
        <w:tc>
          <w:tcPr>
            <w:tcW w:type="dxa" w:w="1361"/>
            <w:vAlign w:val="top"/>
          </w:tcPr>
          <w:p>
            <w:pPr>
              <w:spacing w:after="0"/>
            </w:pPr>
            <w:r/>
            <w:r>
              <w:rPr>
                <w:rFonts w:ascii="Noto Sans CJK SC" w:hAnsi="Noto Sans CJK SC" w:eastAsia="Noto Sans CJK SC"/>
                <w:b w:val="0"/>
                <w:sz w:val="14"/>
              </w:rPr>
              <w:t>C2 通用 warning &lt;95%</w:t>
            </w:r>
          </w:p>
        </w:tc>
        <w:tc>
          <w:tcPr>
            <w:tcW w:type="dxa" w:w="2551"/>
            <w:vAlign w:val="top"/>
          </w:tcPr>
          <w:p>
            <w:pPr>
              <w:spacing w:after="0"/>
            </w:pPr>
            <w:r/>
            <w:r>
              <w:rPr>
                <w:rFonts w:ascii="Noto Sans CJK SC" w:hAnsi="Noto Sans CJK SC" w:eastAsia="Noto Sans CJK SC"/>
                <w:b w:val="0"/>
                <w:sz w:val="14"/>
              </w:rPr>
              <w:t>BTS 2017/2019 氧疗指南更新</w:t>
            </w:r>
          </w:p>
        </w:tc>
        <w:tc>
          <w:tcPr>
            <w:tcW w:type="dxa" w:w="2438"/>
            <w:vAlign w:val="top"/>
          </w:tcPr>
          <w:p>
            <w:pPr>
              <w:spacing w:after="0"/>
            </w:pPr>
            <w:r/>
            <w:r>
              <w:rPr>
                <w:rFonts w:ascii="Noto Sans CJK SC" w:hAnsi="Noto Sans CJK SC" w:eastAsia="Noto Sans CJK SC"/>
                <w:b w:val="0"/>
                <w:sz w:val="14"/>
              </w:rPr>
              <w:t>同上</w:t>
            </w:r>
          </w:p>
        </w:tc>
        <w:tc>
          <w:tcPr>
            <w:tcW w:type="dxa" w:w="3118"/>
            <w:vAlign w:val="top"/>
          </w:tcPr>
          <w:p>
            <w:pPr>
              <w:spacing w:after="0"/>
            </w:pPr>
            <w:r/>
            <w:r>
              <w:rPr>
                <w:rFonts w:ascii="Noto Sans CJK SC" w:hAnsi="Noto Sans CJK SC" w:eastAsia="Noto Sans CJK SC"/>
                <w:b w:val="0"/>
                <w:sz w:val="14"/>
              </w:rPr>
              <w:t>非高碳酸血症风险者目标 94-98%。</w:t>
            </w:r>
          </w:p>
        </w:tc>
        <w:tc>
          <w:tcPr>
            <w:tcW w:type="dxa" w:w="3402"/>
            <w:vAlign w:val="top"/>
          </w:tcPr>
          <w:p>
            <w:pPr>
              <w:spacing w:after="0"/>
            </w:pPr>
            <w:r/>
            <w:r>
              <w:rPr>
                <w:rFonts w:ascii="Noto Sans CJK SC" w:hAnsi="Noto Sans CJK SC" w:eastAsia="Noto Sans CJK SC"/>
                <w:b w:val="0"/>
                <w:sz w:val="14"/>
              </w:rPr>
              <w:t>&lt;95% 作为“留意”有方向性依据；程序中应注明这是参考阈值，需结合设备和症状。</w:t>
            </w:r>
          </w:p>
        </w:tc>
      </w:tr>
      <w:tr>
        <w:tc>
          <w:tcPr>
            <w:tcW w:type="dxa" w:w="1361"/>
            <w:vAlign w:val="top"/>
          </w:tcPr>
          <w:p>
            <w:pPr>
              <w:spacing w:after="0"/>
            </w:pPr>
            <w:r/>
            <w:r>
              <w:rPr>
                <w:rFonts w:ascii="Noto Sans CJK SC" w:hAnsi="Noto Sans CJK SC" w:eastAsia="Noto Sans CJK SC"/>
                <w:b w:val="0"/>
                <w:sz w:val="14"/>
              </w:rPr>
              <w:t>C3 COPD danger &lt;88%</w:t>
            </w:r>
          </w:p>
        </w:tc>
        <w:tc>
          <w:tcPr>
            <w:tcW w:type="dxa" w:w="2551"/>
            <w:vAlign w:val="top"/>
          </w:tcPr>
          <w:p>
            <w:pPr>
              <w:spacing w:after="0"/>
            </w:pPr>
            <w:r/>
            <w:r>
              <w:rPr>
                <w:rFonts w:ascii="Noto Sans CJK SC" w:hAnsi="Noto Sans CJK SC" w:eastAsia="Noto Sans CJK SC"/>
                <w:b w:val="0"/>
                <w:sz w:val="14"/>
              </w:rPr>
              <w:t>中国《慢性阻塞性肺疾病诊治指南（2021年修订版）》</w:t>
            </w:r>
          </w:p>
        </w:tc>
        <w:tc>
          <w:tcPr>
            <w:tcW w:type="dxa" w:w="2438"/>
            <w:vAlign w:val="top"/>
          </w:tcPr>
          <w:p>
            <w:pPr>
              <w:spacing w:after="0"/>
            </w:pPr>
            <w:r/>
            <w:r>
              <w:rPr>
                <w:rFonts w:ascii="Noto Sans CJK SC" w:hAnsi="Noto Sans CJK SC" w:eastAsia="Noto Sans CJK SC"/>
                <w:b w:val="0"/>
                <w:sz w:val="14"/>
              </w:rPr>
              <w:t>中华结核和呼吸杂志 2021;44(3):170-205；稳定期氧疗段落</w:t>
            </w:r>
          </w:p>
        </w:tc>
        <w:tc>
          <w:tcPr>
            <w:tcW w:type="dxa" w:w="3118"/>
            <w:vAlign w:val="top"/>
          </w:tcPr>
          <w:p>
            <w:pPr>
              <w:spacing w:after="0"/>
            </w:pPr>
            <w:r/>
            <w:r>
              <w:rPr>
                <w:rFonts w:ascii="Noto Sans CJK SC" w:hAnsi="Noto Sans CJK SC" w:eastAsia="Noto Sans CJK SC"/>
                <w:b w:val="0"/>
                <w:sz w:val="14"/>
              </w:rPr>
              <w:t>LTOT 指征包括 PaO2 &lt;=55 mmHg 或 SaO2 &lt;=88%；长期氧疗目标使 SaO2 达到约90%。</w:t>
            </w:r>
          </w:p>
        </w:tc>
        <w:tc>
          <w:tcPr>
            <w:tcW w:type="dxa" w:w="3402"/>
            <w:vAlign w:val="top"/>
          </w:tcPr>
          <w:p>
            <w:pPr>
              <w:spacing w:after="0"/>
            </w:pPr>
            <w:r/>
            <w:r>
              <w:rPr>
                <w:rFonts w:ascii="Noto Sans CJK SC" w:hAnsi="Noto Sans CJK SC" w:eastAsia="Noto Sans CJK SC"/>
                <w:b w:val="0"/>
                <w:sz w:val="14"/>
              </w:rPr>
              <w:t>COPD/慢性呼吸衰竭人群 &lt;88% 可作为严重低氧相关的高风险阈值，但应建议临床复核/血气评估。</w:t>
            </w:r>
          </w:p>
        </w:tc>
      </w:tr>
      <w:tr>
        <w:tc>
          <w:tcPr>
            <w:tcW w:type="dxa" w:w="1361"/>
            <w:vAlign w:val="top"/>
          </w:tcPr>
          <w:p>
            <w:pPr>
              <w:spacing w:after="0"/>
            </w:pPr>
            <w:r/>
            <w:r>
              <w:rPr>
                <w:rFonts w:ascii="Noto Sans CJK SC" w:hAnsi="Noto Sans CJK SC" w:eastAsia="Noto Sans CJK SC"/>
                <w:b w:val="0"/>
                <w:sz w:val="14"/>
              </w:rPr>
              <w:t>C3/C4 COPD 88-92%</w:t>
            </w:r>
          </w:p>
        </w:tc>
        <w:tc>
          <w:tcPr>
            <w:tcW w:type="dxa" w:w="2551"/>
            <w:vAlign w:val="top"/>
          </w:tcPr>
          <w:p>
            <w:pPr>
              <w:spacing w:after="0"/>
            </w:pPr>
            <w:r/>
            <w:r>
              <w:rPr>
                <w:rFonts w:ascii="Noto Sans CJK SC" w:hAnsi="Noto Sans CJK SC" w:eastAsia="Noto Sans CJK SC"/>
                <w:b w:val="0"/>
                <w:sz w:val="14"/>
              </w:rPr>
              <w:t>中国《慢性阻塞性肺疾病诊治指南（2021年修订版）》</w:t>
            </w:r>
          </w:p>
        </w:tc>
        <w:tc>
          <w:tcPr>
            <w:tcW w:type="dxa" w:w="2438"/>
            <w:vAlign w:val="top"/>
          </w:tcPr>
          <w:p>
            <w:pPr>
              <w:spacing w:after="0"/>
            </w:pPr>
            <w:r/>
            <w:r>
              <w:rPr>
                <w:rFonts w:ascii="Noto Sans CJK SC" w:hAnsi="Noto Sans CJK SC" w:eastAsia="Noto Sans CJK SC"/>
                <w:b w:val="0"/>
                <w:sz w:val="14"/>
              </w:rPr>
              <w:t>急性加重-呼吸支持-控制性氧疗</w:t>
            </w:r>
          </w:p>
        </w:tc>
        <w:tc>
          <w:tcPr>
            <w:tcW w:type="dxa" w:w="3118"/>
            <w:vAlign w:val="top"/>
          </w:tcPr>
          <w:p>
            <w:pPr>
              <w:spacing w:after="0"/>
            </w:pPr>
            <w:r/>
            <w:r>
              <w:rPr>
                <w:rFonts w:ascii="Noto Sans CJK SC" w:hAnsi="Noto Sans CJK SC" w:eastAsia="Noto Sans CJK SC"/>
                <w:b w:val="0"/>
                <w:sz w:val="14"/>
              </w:rPr>
              <w:t>AECOPD伴呼吸衰竭时，控制性氧疗以保证 SpO2 88-92% 为目标，达标后应及时做动脉血气。</w:t>
            </w:r>
          </w:p>
        </w:tc>
        <w:tc>
          <w:tcPr>
            <w:tcW w:type="dxa" w:w="3402"/>
            <w:vAlign w:val="top"/>
          </w:tcPr>
          <w:p>
            <w:pPr>
              <w:spacing w:after="0"/>
            </w:pPr>
            <w:r/>
            <w:r>
              <w:rPr>
                <w:rFonts w:ascii="Noto Sans CJK SC" w:hAnsi="Noto Sans CJK SC" w:eastAsia="Noto Sans CJK SC"/>
                <w:b w:val="0"/>
                <w:sz w:val="14"/>
              </w:rPr>
              <w:t>程序可将 88-92% 作为 COPD/高碳酸血症风险者的参考目标范围，但不得自动假定所有“哮喘/COPD标签”均适用。</w:t>
            </w:r>
          </w:p>
        </w:tc>
      </w:tr>
      <w:tr>
        <w:tc>
          <w:tcPr>
            <w:tcW w:type="dxa" w:w="1361"/>
            <w:vAlign w:val="top"/>
          </w:tcPr>
          <w:p>
            <w:pPr>
              <w:spacing w:after="0"/>
            </w:pPr>
            <w:r/>
            <w:r>
              <w:rPr>
                <w:rFonts w:ascii="Noto Sans CJK SC" w:hAnsi="Noto Sans CJK SC" w:eastAsia="Noto Sans CJK SC"/>
                <w:b w:val="0"/>
                <w:sz w:val="14"/>
              </w:rPr>
              <w:t>C3/C4 COPD 88-92%</w:t>
            </w:r>
          </w:p>
        </w:tc>
        <w:tc>
          <w:tcPr>
            <w:tcW w:type="dxa" w:w="2551"/>
            <w:vAlign w:val="top"/>
          </w:tcPr>
          <w:p>
            <w:pPr>
              <w:spacing w:after="0"/>
            </w:pPr>
            <w:r/>
            <w:r>
              <w:rPr>
                <w:rFonts w:ascii="Noto Sans CJK SC" w:hAnsi="Noto Sans CJK SC" w:eastAsia="Noto Sans CJK SC"/>
                <w:b w:val="0"/>
                <w:sz w:val="14"/>
              </w:rPr>
              <w:t>ATS Home Oxygen Therapy for Adults with Chronic Lung Disease, 2020</w:t>
            </w:r>
          </w:p>
        </w:tc>
        <w:tc>
          <w:tcPr>
            <w:tcW w:type="dxa" w:w="2438"/>
            <w:vAlign w:val="top"/>
          </w:tcPr>
          <w:p>
            <w:pPr>
              <w:spacing w:after="0"/>
            </w:pPr>
            <w:r/>
            <w:r>
              <w:rPr>
                <w:rFonts w:ascii="Noto Sans CJK SC" w:hAnsi="Noto Sans CJK SC" w:eastAsia="Noto Sans CJK SC"/>
                <w:b w:val="0"/>
                <w:sz w:val="14"/>
              </w:rPr>
              <w:t>ATS/Guideline Central 摘要；COPD LTOT Recommendation</w:t>
            </w:r>
          </w:p>
        </w:tc>
        <w:tc>
          <w:tcPr>
            <w:tcW w:type="dxa" w:w="3118"/>
            <w:vAlign w:val="top"/>
          </w:tcPr>
          <w:p>
            <w:pPr>
              <w:spacing w:after="0"/>
            </w:pPr>
            <w:r/>
            <w:r>
              <w:rPr>
                <w:rFonts w:ascii="Noto Sans CJK SC" w:hAnsi="Noto Sans CJK SC" w:eastAsia="Noto Sans CJK SC"/>
                <w:b w:val="0"/>
                <w:sz w:val="14"/>
              </w:rPr>
              <w:t>严重慢性静息低氧定义包括 PaO2 &lt;=55 mmHg 或 SpO2 &lt;=88%；建议 LTOT 至少15 h/day。</w:t>
            </w:r>
          </w:p>
        </w:tc>
        <w:tc>
          <w:tcPr>
            <w:tcW w:type="dxa" w:w="3402"/>
            <w:vAlign w:val="top"/>
          </w:tcPr>
          <w:p>
            <w:pPr>
              <w:spacing w:after="0"/>
            </w:pPr>
            <w:r/>
            <w:r>
              <w:rPr>
                <w:rFonts w:ascii="Noto Sans CJK SC" w:hAnsi="Noto Sans CJK SC" w:eastAsia="Noto Sans CJK SC"/>
                <w:b w:val="0"/>
                <w:sz w:val="14"/>
              </w:rPr>
              <w:t>支持将 SpO2 &lt;=88% 作为严重低氧/长期氧疗相关依据之一。</w:t>
            </w:r>
          </w:p>
        </w:tc>
      </w:tr>
      <w:tr>
        <w:tc>
          <w:tcPr>
            <w:tcW w:type="dxa" w:w="1361"/>
            <w:vAlign w:val="top"/>
          </w:tcPr>
          <w:p>
            <w:pPr>
              <w:spacing w:after="0"/>
            </w:pPr>
            <w:r/>
            <w:r>
              <w:rPr>
                <w:rFonts w:ascii="Noto Sans CJK SC" w:hAnsi="Noto Sans CJK SC" w:eastAsia="Noto Sans CJK SC"/>
                <w:b w:val="0"/>
                <w:sz w:val="14"/>
              </w:rPr>
              <w:t>C13 GOLD</w:t>
            </w:r>
          </w:p>
        </w:tc>
        <w:tc>
          <w:tcPr>
            <w:tcW w:type="dxa" w:w="2551"/>
            <w:vAlign w:val="top"/>
          </w:tcPr>
          <w:p>
            <w:pPr>
              <w:spacing w:after="0"/>
            </w:pPr>
            <w:r/>
            <w:r>
              <w:rPr>
                <w:rFonts w:ascii="Noto Sans CJK SC" w:hAnsi="Noto Sans CJK SC" w:eastAsia="Noto Sans CJK SC"/>
                <w:b w:val="0"/>
                <w:sz w:val="14"/>
              </w:rPr>
              <w:t>GOLD 2024/2025 Report</w:t>
            </w:r>
          </w:p>
        </w:tc>
        <w:tc>
          <w:tcPr>
            <w:tcW w:type="dxa" w:w="2438"/>
            <w:vAlign w:val="top"/>
          </w:tcPr>
          <w:p>
            <w:pPr>
              <w:spacing w:after="0"/>
            </w:pPr>
            <w:r/>
            <w:r>
              <w:rPr>
                <w:rFonts w:ascii="Noto Sans CJK SC" w:hAnsi="Noto Sans CJK SC" w:eastAsia="Noto Sans CJK SC"/>
                <w:b w:val="0"/>
                <w:sz w:val="14"/>
              </w:rPr>
              <w:t>GOLD 官方报告入口；氧疗章节需在最终引用版中再核页码</w:t>
            </w:r>
          </w:p>
        </w:tc>
        <w:tc>
          <w:tcPr>
            <w:tcW w:type="dxa" w:w="3118"/>
            <w:vAlign w:val="top"/>
          </w:tcPr>
          <w:p>
            <w:pPr>
              <w:spacing w:after="0"/>
            </w:pPr>
            <w:r/>
            <w:r>
              <w:rPr>
                <w:rFonts w:ascii="Noto Sans CJK SC" w:hAnsi="Noto Sans CJK SC" w:eastAsia="Noto Sans CJK SC"/>
                <w:b w:val="0"/>
                <w:sz w:val="14"/>
              </w:rPr>
              <w:t>GOLD 报告持续将严重静息低氧者长期氧疗作为 COPD 管理内容；中度低氧不常规给长期氧疗。</w:t>
            </w:r>
          </w:p>
        </w:tc>
        <w:tc>
          <w:tcPr>
            <w:tcW w:type="dxa" w:w="3402"/>
            <w:vAlign w:val="top"/>
          </w:tcPr>
          <w:p>
            <w:pPr>
              <w:spacing w:after="0"/>
            </w:pPr>
            <w:r/>
            <w:r>
              <w:rPr>
                <w:rFonts w:ascii="Noto Sans CJK SC" w:hAnsi="Noto Sans CJK SC" w:eastAsia="Noto Sans CJK SC"/>
                <w:b w:val="0"/>
                <w:sz w:val="14"/>
              </w:rPr>
              <w:t>可保留 GOLD 作为上位 COPD 管理依据，但在正式文档中应核定具体版本、章节和页码。</w:t>
            </w:r>
          </w:p>
        </w:tc>
      </w:tr>
    </w:tbl>
    <w:p/>
    <w:p>
      <w:pPr>
        <w:pStyle w:val="Heading2"/>
        <w:spacing w:line="276" w:lineRule="auto" w:after="80"/>
      </w:pPr>
      <w:r>
        <w:rPr>
          <w:rFonts w:ascii="Noto Sans CJK SC" w:hAnsi="Noto Sans CJK SC" w:eastAsia="Noto Sans CJK SC"/>
          <w:b w:val="0"/>
          <w:sz w:val="21"/>
        </w:rPr>
        <w:t>临床解释：</w:t>
      </w:r>
    </w:p>
    <w:p>
      <w:pPr>
        <w:spacing w:line="276" w:lineRule="auto" w:after="80"/>
      </w:pPr>
      <w:r>
        <w:rPr>
          <w:rFonts w:ascii="Noto Sans CJK SC" w:hAnsi="Noto Sans CJK SC" w:eastAsia="Noto Sans CJK SC"/>
          <w:b w:val="0"/>
          <w:sz w:val="21"/>
        </w:rPr>
        <w:t>对血氧阈值，现有权威依据最强的是 COPD/高碳酸血症风险场景的 88-92% 目标范围，以及严重低氧/LTOT 判断中的 SpO2/SaO2 88% 线。通用人群的 &lt;95% 留意和 &lt;90% 需关注有临床方向性依据，但仍需临床人员确认其是否适合程序的目标人群、设备来源和使用场景。</w:t>
      </w:r>
    </w:p>
    <w:p>
      <w:pPr>
        <w:pStyle w:val="Heading1"/>
        <w:spacing w:line="276" w:lineRule="auto" w:after="80"/>
      </w:pPr>
      <w:r>
        <w:rPr>
          <w:rFonts w:ascii="Noto Sans CJK SC" w:hAnsi="Noto Sans CJK SC" w:eastAsia="Noto Sans CJK SC"/>
          <w:b w:val="0"/>
          <w:sz w:val="21"/>
        </w:rPr>
        <w:t>三、脉氧精度、消费级设备和告警门控</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1587"/>
            <w:shd w:fill="D9EAF7"/>
            <w:vAlign w:val="center"/>
          </w:tcPr>
          <w:p>
            <w:pPr>
              <w:spacing w:after="0"/>
            </w:pPr>
            <w:r/>
            <w:r>
              <w:rPr>
                <w:rFonts w:ascii="Noto Sans CJK SC" w:hAnsi="Noto Sans CJK SC" w:eastAsia="Noto Sans CJK SC"/>
                <w:b/>
                <w:sz w:val="14"/>
              </w:rPr>
              <w:t>确认项</w:t>
            </w:r>
          </w:p>
        </w:tc>
        <w:tc>
          <w:tcPr>
            <w:tcW w:type="dxa" w:w="2438"/>
            <w:shd w:fill="D9EAF7"/>
            <w:vAlign w:val="center"/>
          </w:tcPr>
          <w:p>
            <w:pPr>
              <w:spacing w:after="0"/>
            </w:pPr>
            <w:r/>
            <w:r>
              <w:rPr>
                <w:rFonts w:ascii="Noto Sans CJK SC" w:hAnsi="Noto Sans CJK SC" w:eastAsia="Noto Sans CJK SC"/>
                <w:b/>
                <w:sz w:val="14"/>
              </w:rPr>
              <w:t>依据/出处</w:t>
            </w:r>
          </w:p>
        </w:tc>
        <w:tc>
          <w:tcPr>
            <w:tcW w:type="dxa" w:w="2154"/>
            <w:shd w:fill="D9EAF7"/>
            <w:vAlign w:val="center"/>
          </w:tcPr>
          <w:p>
            <w:pPr>
              <w:spacing w:after="0"/>
            </w:pPr>
            <w:r/>
            <w:r>
              <w:rPr>
                <w:rFonts w:ascii="Noto Sans CJK SC" w:hAnsi="Noto Sans CJK SC" w:eastAsia="Noto Sans CJK SC"/>
                <w:b/>
                <w:sz w:val="14"/>
              </w:rPr>
              <w:t>定位</w:t>
            </w:r>
          </w:p>
        </w:tc>
        <w:tc>
          <w:tcPr>
            <w:tcW w:type="dxa" w:w="3118"/>
            <w:shd w:fill="D9EAF7"/>
            <w:vAlign w:val="center"/>
          </w:tcPr>
          <w:p>
            <w:pPr>
              <w:spacing w:after="0"/>
            </w:pPr>
            <w:r/>
            <w:r>
              <w:rPr>
                <w:rFonts w:ascii="Noto Sans CJK SC" w:hAnsi="Noto Sans CJK SC" w:eastAsia="Noto Sans CJK SC"/>
                <w:b/>
                <w:sz w:val="14"/>
              </w:rPr>
              <w:t>核心内容</w:t>
            </w:r>
          </w:p>
        </w:tc>
        <w:tc>
          <w:tcPr>
            <w:tcW w:type="dxa" w:w="3572"/>
            <w:shd w:fill="D9EAF7"/>
            <w:vAlign w:val="center"/>
          </w:tcPr>
          <w:p>
            <w:pPr>
              <w:spacing w:after="0"/>
            </w:pPr>
            <w:r/>
            <w:r>
              <w:rPr>
                <w:rFonts w:ascii="Noto Sans CJK SC" w:hAnsi="Noto Sans CJK SC" w:eastAsia="Noto Sans CJK SC"/>
                <w:b/>
                <w:sz w:val="14"/>
              </w:rPr>
              <w:t>程序结论</w:t>
            </w:r>
          </w:p>
        </w:tc>
      </w:tr>
      <w:tr>
        <w:tc>
          <w:tcPr>
            <w:tcW w:type="dxa" w:w="1587"/>
            <w:vAlign w:val="top"/>
          </w:tcPr>
          <w:p>
            <w:pPr>
              <w:spacing w:after="0"/>
            </w:pPr>
            <w:r/>
            <w:r>
              <w:rPr>
                <w:rFonts w:ascii="Noto Sans CJK SC" w:hAnsi="Noto Sans CJK SC" w:eastAsia="Noto Sans CJK SC"/>
                <w:b w:val="0"/>
                <w:sz w:val="14"/>
              </w:rPr>
              <w:t>C11 精度引用</w:t>
            </w:r>
          </w:p>
        </w:tc>
        <w:tc>
          <w:tcPr>
            <w:tcW w:type="dxa" w:w="2438"/>
            <w:vAlign w:val="top"/>
          </w:tcPr>
          <w:p>
            <w:pPr>
              <w:spacing w:after="0"/>
            </w:pPr>
            <w:r/>
            <w:r>
              <w:rPr>
                <w:rFonts w:ascii="Noto Sans CJK SC" w:hAnsi="Noto Sans CJK SC" w:eastAsia="Noto Sans CJK SC"/>
                <w:b w:val="0"/>
                <w:sz w:val="14"/>
              </w:rPr>
              <w:t>FDA 2025 Draft Guidance；ISO 80601-2-61</w:t>
            </w:r>
          </w:p>
        </w:tc>
        <w:tc>
          <w:tcPr>
            <w:tcW w:type="dxa" w:w="2154"/>
            <w:vAlign w:val="top"/>
          </w:tcPr>
          <w:p>
            <w:pPr>
              <w:spacing w:after="0"/>
            </w:pPr>
            <w:r/>
            <w:r>
              <w:rPr>
                <w:rFonts w:ascii="Noto Sans CJK SC" w:hAnsi="Noto Sans CJK SC" w:eastAsia="Noto Sans CJK SC"/>
                <w:b w:val="0"/>
                <w:sz w:val="14"/>
              </w:rPr>
              <w:t>FDA PDF p6, p14, p28</w:t>
            </w:r>
          </w:p>
        </w:tc>
        <w:tc>
          <w:tcPr>
            <w:tcW w:type="dxa" w:w="3118"/>
            <w:vAlign w:val="top"/>
          </w:tcPr>
          <w:p>
            <w:pPr>
              <w:spacing w:after="0"/>
            </w:pPr>
            <w:r/>
            <w:r>
              <w:rPr>
                <w:rFonts w:ascii="Noto Sans CJK SC" w:hAnsi="Noto Sans CJK SC" w:eastAsia="Noto Sans CJK SC"/>
                <w:b w:val="0"/>
                <w:sz w:val="14"/>
              </w:rPr>
              <w:t>FDA 使用/引用 Arms（SpO2 与 SaO2 的均方根偏差）和 ISO 80601-2-61 脉搏血氧仪标准。</w:t>
            </w:r>
          </w:p>
        </w:tc>
        <w:tc>
          <w:tcPr>
            <w:tcW w:type="dxa" w:w="3572"/>
            <w:vAlign w:val="top"/>
          </w:tcPr>
          <w:p>
            <w:pPr>
              <w:spacing w:after="0"/>
            </w:pPr>
            <w:r/>
            <w:r>
              <w:rPr>
                <w:rFonts w:ascii="Noto Sans CJK SC" w:hAnsi="Noto Sans CJK SC" w:eastAsia="Noto Sans CJK SC"/>
                <w:b w:val="0"/>
                <w:sz w:val="14"/>
              </w:rPr>
              <w:t>建议将“FDA 510(k) ±2-3%”改为“医疗用途脉搏血氧仪通常按 ISO/FDA 相关性能测试报告 Arms；具体设备以其说明书和清关/注册信息为准”。</w:t>
            </w:r>
          </w:p>
        </w:tc>
      </w:tr>
      <w:tr>
        <w:tc>
          <w:tcPr>
            <w:tcW w:type="dxa" w:w="1587"/>
            <w:vAlign w:val="top"/>
          </w:tcPr>
          <w:p>
            <w:pPr>
              <w:spacing w:after="0"/>
            </w:pPr>
            <w:r/>
            <w:r>
              <w:rPr>
                <w:rFonts w:ascii="Noto Sans CJK SC" w:hAnsi="Noto Sans CJK SC" w:eastAsia="Noto Sans CJK SC"/>
                <w:b w:val="0"/>
                <w:sz w:val="14"/>
              </w:rPr>
              <w:t>C11 消费级腕式设备</w:t>
            </w:r>
          </w:p>
        </w:tc>
        <w:tc>
          <w:tcPr>
            <w:tcW w:type="dxa" w:w="2438"/>
            <w:vAlign w:val="top"/>
          </w:tcPr>
          <w:p>
            <w:pPr>
              <w:spacing w:after="0"/>
            </w:pPr>
            <w:r/>
            <w:r>
              <w:rPr>
                <w:rFonts w:ascii="Noto Sans CJK SC" w:hAnsi="Noto Sans CJK SC" w:eastAsia="Noto Sans CJK SC"/>
                <w:b w:val="0"/>
                <w:sz w:val="14"/>
              </w:rPr>
              <w:t>FDA 2025 Draft Guidance</w:t>
            </w:r>
          </w:p>
        </w:tc>
        <w:tc>
          <w:tcPr>
            <w:tcW w:type="dxa" w:w="2154"/>
            <w:vAlign w:val="top"/>
          </w:tcPr>
          <w:p>
            <w:pPr>
              <w:spacing w:after="0"/>
            </w:pPr>
            <w:r/>
            <w:r>
              <w:rPr>
                <w:rFonts w:ascii="Noto Sans CJK SC" w:hAnsi="Noto Sans CJK SC" w:eastAsia="Noto Sans CJK SC"/>
                <w:b w:val="0"/>
                <w:sz w:val="14"/>
              </w:rPr>
              <w:t>FDA PDF p8</w:t>
            </w:r>
          </w:p>
        </w:tc>
        <w:tc>
          <w:tcPr>
            <w:tcW w:type="dxa" w:w="3118"/>
            <w:vAlign w:val="top"/>
          </w:tcPr>
          <w:p>
            <w:pPr>
              <w:spacing w:after="0"/>
            </w:pPr>
            <w:r/>
            <w:r>
              <w:rPr>
                <w:rFonts w:ascii="Noto Sans CJK SC" w:hAnsi="Noto Sans CJK SC" w:eastAsia="Noto Sans CJK SC"/>
                <w:b w:val="0"/>
                <w:sz w:val="14"/>
              </w:rPr>
              <w:t>FDA 草案不覆盖 OCH/PGJ 等一般健康/运动/航空/ wellness 类脉氧产品，这些产品当前上市前不一定由 FDA 评估。</w:t>
            </w:r>
          </w:p>
        </w:tc>
        <w:tc>
          <w:tcPr>
            <w:tcW w:type="dxa" w:w="3572"/>
            <w:vAlign w:val="top"/>
          </w:tcPr>
          <w:p>
            <w:pPr>
              <w:spacing w:after="0"/>
            </w:pPr>
            <w:r/>
            <w:r>
              <w:rPr>
                <w:rFonts w:ascii="Noto Sans CJK SC" w:hAnsi="Noto Sans CJK SC" w:eastAsia="Noto Sans CJK SC"/>
                <w:b w:val="0"/>
                <w:sz w:val="14"/>
              </w:rPr>
              <w:t>消费腕式设备不得写成“FDA 510(k) 清关精度”；应写“腕式参考，非诊断”。</w:t>
            </w:r>
          </w:p>
        </w:tc>
      </w:tr>
      <w:tr>
        <w:tc>
          <w:tcPr>
            <w:tcW w:type="dxa" w:w="1587"/>
            <w:vAlign w:val="top"/>
          </w:tcPr>
          <w:p>
            <w:pPr>
              <w:spacing w:after="0"/>
            </w:pPr>
            <w:r/>
            <w:r>
              <w:rPr>
                <w:rFonts w:ascii="Noto Sans CJK SC" w:hAnsi="Noto Sans CJK SC" w:eastAsia="Noto Sans CJK SC"/>
                <w:b w:val="0"/>
                <w:sz w:val="14"/>
              </w:rPr>
              <w:t>C15 提示/免责</w:t>
            </w:r>
          </w:p>
        </w:tc>
        <w:tc>
          <w:tcPr>
            <w:tcW w:type="dxa" w:w="2438"/>
            <w:vAlign w:val="top"/>
          </w:tcPr>
          <w:p>
            <w:pPr>
              <w:spacing w:after="0"/>
            </w:pPr>
            <w:r/>
            <w:r>
              <w:rPr>
                <w:rFonts w:ascii="Noto Sans CJK SC" w:hAnsi="Noto Sans CJK SC" w:eastAsia="Noto Sans CJK SC"/>
                <w:b w:val="0"/>
                <w:sz w:val="14"/>
              </w:rPr>
              <w:t>FDA 2025 Draft Guidance</w:t>
            </w:r>
          </w:p>
        </w:tc>
        <w:tc>
          <w:tcPr>
            <w:tcW w:type="dxa" w:w="2154"/>
            <w:vAlign w:val="top"/>
          </w:tcPr>
          <w:p>
            <w:pPr>
              <w:spacing w:after="0"/>
            </w:pPr>
            <w:r/>
            <w:r>
              <w:rPr>
                <w:rFonts w:ascii="Noto Sans CJK SC" w:hAnsi="Noto Sans CJK SC" w:eastAsia="Noto Sans CJK SC"/>
                <w:b w:val="0"/>
                <w:sz w:val="14"/>
              </w:rPr>
              <w:t>FDA PDF p16, p44</w:t>
            </w:r>
          </w:p>
        </w:tc>
        <w:tc>
          <w:tcPr>
            <w:tcW w:type="dxa" w:w="3118"/>
            <w:vAlign w:val="top"/>
          </w:tcPr>
          <w:p>
            <w:pPr>
              <w:spacing w:after="0"/>
            </w:pPr>
            <w:r/>
            <w:r>
              <w:rPr>
                <w:rFonts w:ascii="Noto Sans CJK SC" w:hAnsi="Noto Sans CJK SC" w:eastAsia="Noto Sans CJK SC"/>
                <w:b w:val="0"/>
                <w:sz w:val="14"/>
              </w:rPr>
              <w:t>FDA 建议警示用户：只有医疗人员能诊断；不要仅依赖脉氧仪判断健康/血氧；不要自行根据读数调整治疗。</w:t>
            </w:r>
          </w:p>
        </w:tc>
        <w:tc>
          <w:tcPr>
            <w:tcW w:type="dxa" w:w="3572"/>
            <w:vAlign w:val="top"/>
          </w:tcPr>
          <w:p>
            <w:pPr>
              <w:spacing w:after="0"/>
            </w:pPr>
            <w:r/>
            <w:r>
              <w:rPr>
                <w:rFonts w:ascii="Noto Sans CJK SC" w:hAnsi="Noto Sans CJK SC" w:eastAsia="Noto Sans CJK SC"/>
                <w:b w:val="0"/>
                <w:sz w:val="14"/>
              </w:rPr>
              <w:t>程序提示语应避免构成诊断或治疗指令，应提示复测、关注症状、联系医生/急救。</w:t>
            </w:r>
          </w:p>
        </w:tc>
      </w:tr>
      <w:tr>
        <w:tc>
          <w:tcPr>
            <w:tcW w:type="dxa" w:w="1587"/>
            <w:vAlign w:val="top"/>
          </w:tcPr>
          <w:p>
            <w:pPr>
              <w:spacing w:after="0"/>
            </w:pPr>
            <w:r/>
            <w:r>
              <w:rPr>
                <w:rFonts w:ascii="Noto Sans CJK SC" w:hAnsi="Noto Sans CJK SC" w:eastAsia="Noto Sans CJK SC"/>
                <w:b w:val="0"/>
                <w:sz w:val="14"/>
              </w:rPr>
              <w:t>C5 阈值减2%触发</w:t>
            </w:r>
          </w:p>
        </w:tc>
        <w:tc>
          <w:tcPr>
            <w:tcW w:type="dxa" w:w="2438"/>
            <w:vAlign w:val="top"/>
          </w:tcPr>
          <w:p>
            <w:pPr>
              <w:spacing w:after="0"/>
            </w:pPr>
            <w:r/>
            <w:r>
              <w:rPr>
                <w:rFonts w:ascii="Noto Sans CJK SC" w:hAnsi="Noto Sans CJK SC" w:eastAsia="Noto Sans CJK SC"/>
                <w:b w:val="0"/>
                <w:sz w:val="14"/>
              </w:rPr>
              <w:t>未找到临床指南直接支持</w:t>
            </w:r>
          </w:p>
        </w:tc>
        <w:tc>
          <w:tcPr>
            <w:tcW w:type="dxa" w:w="2154"/>
            <w:vAlign w:val="top"/>
          </w:tcPr>
          <w:p>
            <w:pPr>
              <w:spacing w:after="0"/>
            </w:pPr>
            <w:r/>
            <w:r>
              <w:rPr>
                <w:rFonts w:ascii="Noto Sans CJK SC" w:hAnsi="Noto Sans CJK SC" w:eastAsia="Noto Sans CJK SC"/>
                <w:b w:val="0"/>
                <w:sz w:val="14"/>
              </w:rPr>
              <w:t>不适用</w:t>
            </w:r>
          </w:p>
        </w:tc>
        <w:tc>
          <w:tcPr>
            <w:tcW w:type="dxa" w:w="3118"/>
            <w:vAlign w:val="top"/>
          </w:tcPr>
          <w:p>
            <w:pPr>
              <w:spacing w:after="0"/>
            </w:pPr>
            <w:r/>
            <w:r>
              <w:rPr>
                <w:rFonts w:ascii="Noto Sans CJK SC" w:hAnsi="Noto Sans CJK SC" w:eastAsia="Noto Sans CJK SC"/>
                <w:b w:val="0"/>
                <w:sz w:val="14"/>
              </w:rPr>
              <w:t>脉氧存在误差不能推出“临床阈值统一下调2%”。</w:t>
            </w:r>
          </w:p>
        </w:tc>
        <w:tc>
          <w:tcPr>
            <w:tcW w:type="dxa" w:w="3572"/>
            <w:vAlign w:val="top"/>
          </w:tcPr>
          <w:p>
            <w:pPr>
              <w:spacing w:after="0"/>
            </w:pPr>
            <w:r/>
            <w:r>
              <w:rPr>
                <w:rFonts w:ascii="Noto Sans CJK SC" w:hAnsi="Noto Sans CJK SC" w:eastAsia="Noto Sans CJK SC"/>
                <w:b w:val="0"/>
                <w:sz w:val="14"/>
              </w:rPr>
              <w:t>此为产品风险策略，必须由临床确认；尤其 COPD 88% 下调至86% 可能降低灵敏度。</w:t>
            </w:r>
          </w:p>
        </w:tc>
      </w:tr>
      <w:tr>
        <w:tc>
          <w:tcPr>
            <w:tcW w:type="dxa" w:w="1587"/>
            <w:vAlign w:val="top"/>
          </w:tcPr>
          <w:p>
            <w:pPr>
              <w:spacing w:after="0"/>
            </w:pPr>
            <w:r/>
            <w:r>
              <w:rPr>
                <w:rFonts w:ascii="Noto Sans CJK SC" w:hAnsi="Noto Sans CJK SC" w:eastAsia="Noto Sans CJK SC"/>
                <w:b w:val="0"/>
                <w:sz w:val="14"/>
              </w:rPr>
              <w:t>C6 COPD叠加至86%</w:t>
            </w:r>
          </w:p>
        </w:tc>
        <w:tc>
          <w:tcPr>
            <w:tcW w:type="dxa" w:w="2438"/>
            <w:vAlign w:val="top"/>
          </w:tcPr>
          <w:p>
            <w:pPr>
              <w:spacing w:after="0"/>
            </w:pPr>
            <w:r/>
            <w:r>
              <w:rPr>
                <w:rFonts w:ascii="Noto Sans CJK SC" w:hAnsi="Noto Sans CJK SC" w:eastAsia="Noto Sans CJK SC"/>
                <w:b w:val="0"/>
                <w:sz w:val="14"/>
              </w:rPr>
              <w:t>未找到临床指南直接支持</w:t>
            </w:r>
          </w:p>
        </w:tc>
        <w:tc>
          <w:tcPr>
            <w:tcW w:type="dxa" w:w="2154"/>
            <w:vAlign w:val="top"/>
          </w:tcPr>
          <w:p>
            <w:pPr>
              <w:spacing w:after="0"/>
            </w:pPr>
            <w:r/>
            <w:r>
              <w:rPr>
                <w:rFonts w:ascii="Noto Sans CJK SC" w:hAnsi="Noto Sans CJK SC" w:eastAsia="Noto Sans CJK SC"/>
                <w:b w:val="0"/>
                <w:sz w:val="14"/>
              </w:rPr>
              <w:t>不适用</w:t>
            </w:r>
          </w:p>
        </w:tc>
        <w:tc>
          <w:tcPr>
            <w:tcW w:type="dxa" w:w="3118"/>
            <w:vAlign w:val="top"/>
          </w:tcPr>
          <w:p>
            <w:pPr>
              <w:spacing w:after="0"/>
            </w:pPr>
            <w:r/>
            <w:r>
              <w:rPr>
                <w:rFonts w:ascii="Noto Sans CJK SC" w:hAnsi="Noto Sans CJK SC" w:eastAsia="Noto Sans CJK SC"/>
                <w:b w:val="0"/>
                <w:sz w:val="14"/>
              </w:rPr>
              <w:t>未找到支持把 COPD danger 88% 进一步因容差放宽到86%的权威指南。</w:t>
            </w:r>
          </w:p>
        </w:tc>
        <w:tc>
          <w:tcPr>
            <w:tcW w:type="dxa" w:w="3572"/>
            <w:vAlign w:val="top"/>
          </w:tcPr>
          <w:p>
            <w:pPr>
              <w:spacing w:after="0"/>
            </w:pPr>
            <w:r/>
            <w:r>
              <w:rPr>
                <w:rFonts w:ascii="Noto Sans CJK SC" w:hAnsi="Noto Sans CJK SC" w:eastAsia="Noto Sans CJK SC"/>
                <w:b w:val="0"/>
                <w:sz w:val="14"/>
              </w:rPr>
              <w:t>建议标为“高风险待临床确认”；正式上线前应有签字和风险接受记录。</w:t>
            </w:r>
          </w:p>
        </w:tc>
      </w:tr>
      <w:tr>
        <w:tc>
          <w:tcPr>
            <w:tcW w:type="dxa" w:w="1587"/>
            <w:vAlign w:val="top"/>
          </w:tcPr>
          <w:p>
            <w:pPr>
              <w:spacing w:after="0"/>
            </w:pPr>
            <w:r/>
            <w:r>
              <w:rPr>
                <w:rFonts w:ascii="Noto Sans CJK SC" w:hAnsi="Noto Sans CJK SC" w:eastAsia="Noto Sans CJK SC"/>
                <w:b w:val="0"/>
                <w:sz w:val="14"/>
              </w:rPr>
              <w:t>C7 30%门控</w:t>
            </w:r>
          </w:p>
        </w:tc>
        <w:tc>
          <w:tcPr>
            <w:tcW w:type="dxa" w:w="2438"/>
            <w:vAlign w:val="top"/>
          </w:tcPr>
          <w:p>
            <w:pPr>
              <w:spacing w:after="0"/>
            </w:pPr>
            <w:r/>
            <w:r>
              <w:rPr>
                <w:rFonts w:ascii="Noto Sans CJK SC" w:hAnsi="Noto Sans CJK SC" w:eastAsia="Noto Sans CJK SC"/>
                <w:b w:val="0"/>
                <w:sz w:val="14"/>
              </w:rPr>
              <w:t>未找到临床指南直接支持</w:t>
            </w:r>
          </w:p>
        </w:tc>
        <w:tc>
          <w:tcPr>
            <w:tcW w:type="dxa" w:w="2154"/>
            <w:vAlign w:val="top"/>
          </w:tcPr>
          <w:p>
            <w:pPr>
              <w:spacing w:after="0"/>
            </w:pPr>
            <w:r/>
            <w:r>
              <w:rPr>
                <w:rFonts w:ascii="Noto Sans CJK SC" w:hAnsi="Noto Sans CJK SC" w:eastAsia="Noto Sans CJK SC"/>
                <w:b w:val="0"/>
                <w:sz w:val="14"/>
              </w:rPr>
              <w:t>不适用</w:t>
            </w:r>
          </w:p>
        </w:tc>
        <w:tc>
          <w:tcPr>
            <w:tcW w:type="dxa" w:w="3118"/>
            <w:vAlign w:val="top"/>
          </w:tcPr>
          <w:p>
            <w:pPr>
              <w:spacing w:after="0"/>
            </w:pPr>
            <w:r/>
            <w:r>
              <w:rPr>
                <w:rFonts w:ascii="Noto Sans CJK SC" w:hAnsi="Noto Sans CJK SC" w:eastAsia="Noto Sans CJK SC"/>
                <w:b w:val="0"/>
                <w:sz w:val="14"/>
              </w:rPr>
              <w:t>未找到“留意天数&gt;总天数30%才升级徽章”的临床依据。</w:t>
            </w:r>
          </w:p>
        </w:tc>
        <w:tc>
          <w:tcPr>
            <w:tcW w:type="dxa" w:w="3572"/>
            <w:vAlign w:val="top"/>
          </w:tcPr>
          <w:p>
            <w:pPr>
              <w:spacing w:after="0"/>
            </w:pPr>
            <w:r/>
            <w:r>
              <w:rPr>
                <w:rFonts w:ascii="Noto Sans CJK SC" w:hAnsi="Noto Sans CJK SC" w:eastAsia="Noto Sans CJK SC"/>
                <w:b w:val="0"/>
                <w:sz w:val="14"/>
              </w:rPr>
              <w:t>可作为减少警报疲劳的产品规则，但不能写为临床指南推荐。</w:t>
            </w:r>
          </w:p>
        </w:tc>
      </w:tr>
    </w:tbl>
    <w:p/>
    <w:p>
      <w:pPr>
        <w:pStyle w:val="Heading2"/>
        <w:spacing w:line="276" w:lineRule="auto" w:after="80"/>
      </w:pPr>
      <w:r>
        <w:rPr>
          <w:rFonts w:ascii="Noto Sans CJK SC" w:hAnsi="Noto Sans CJK SC" w:eastAsia="Noto Sans CJK SC"/>
          <w:b w:val="0"/>
          <w:sz w:val="21"/>
        </w:rPr>
        <w:t>程序风险结论：</w:t>
      </w:r>
    </w:p>
    <w:p>
      <w:pPr>
        <w:spacing w:line="276" w:lineRule="auto" w:after="80"/>
      </w:pPr>
      <w:r>
        <w:rPr>
          <w:rFonts w:ascii="Noto Sans CJK SC" w:hAnsi="Noto Sans CJK SC" w:eastAsia="Noto Sans CJK SC"/>
          <w:b w:val="0"/>
          <w:sz w:val="21"/>
        </w:rPr>
        <w:t>C5-C7 是本文件中证据等级最低、风险最高的部分。可以用 FDA/ISO 资料证明“脉氧读数存在误差，消费级设备不可诊断”，但不能用它们证明“阈值下调2%”或“30%门控”在临床上安全。建议在程序中把这些逻辑标注为“产品告警策略/需临床签字确认”，并在测试用例中重点覆盖持续 86-89% 的 COPD 场景。</w:t>
      </w:r>
    </w:p>
    <w:p>
      <w:pPr>
        <w:pStyle w:val="Heading1"/>
        <w:spacing w:line="276" w:lineRule="auto" w:after="80"/>
      </w:pPr>
      <w:r>
        <w:rPr>
          <w:rFonts w:ascii="Noto Sans CJK SC" w:hAnsi="Noto Sans CJK SC" w:eastAsia="Noto Sans CJK SC"/>
          <w:b w:val="0"/>
          <w:sz w:val="21"/>
        </w:rPr>
        <w:t>四、睡眠时长与腕式睡眠参考</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1701"/>
            <w:shd w:fill="D9EAF7"/>
            <w:vAlign w:val="center"/>
          </w:tcPr>
          <w:p>
            <w:pPr>
              <w:spacing w:after="0"/>
            </w:pPr>
            <w:r/>
            <w:r>
              <w:rPr>
                <w:rFonts w:ascii="Noto Sans CJK SC" w:hAnsi="Noto Sans CJK SC" w:eastAsia="Noto Sans CJK SC"/>
                <w:b/>
                <w:sz w:val="14"/>
              </w:rPr>
              <w:t>确认项</w:t>
            </w:r>
          </w:p>
        </w:tc>
        <w:tc>
          <w:tcPr>
            <w:tcW w:type="dxa" w:w="2551"/>
            <w:shd w:fill="D9EAF7"/>
            <w:vAlign w:val="center"/>
          </w:tcPr>
          <w:p>
            <w:pPr>
              <w:spacing w:after="0"/>
            </w:pPr>
            <w:r/>
            <w:r>
              <w:rPr>
                <w:rFonts w:ascii="Noto Sans CJK SC" w:hAnsi="Noto Sans CJK SC" w:eastAsia="Noto Sans CJK SC"/>
                <w:b/>
                <w:sz w:val="14"/>
              </w:rPr>
              <w:t>依据/出处</w:t>
            </w:r>
          </w:p>
        </w:tc>
        <w:tc>
          <w:tcPr>
            <w:tcW w:type="dxa" w:w="2381"/>
            <w:shd w:fill="D9EAF7"/>
            <w:vAlign w:val="center"/>
          </w:tcPr>
          <w:p>
            <w:pPr>
              <w:spacing w:after="0"/>
            </w:pPr>
            <w:r/>
            <w:r>
              <w:rPr>
                <w:rFonts w:ascii="Noto Sans CJK SC" w:hAnsi="Noto Sans CJK SC" w:eastAsia="Noto Sans CJK SC"/>
                <w:b/>
                <w:sz w:val="14"/>
              </w:rPr>
              <w:t>定位</w:t>
            </w:r>
          </w:p>
        </w:tc>
        <w:tc>
          <w:tcPr>
            <w:tcW w:type="dxa" w:w="3118"/>
            <w:shd w:fill="D9EAF7"/>
            <w:vAlign w:val="center"/>
          </w:tcPr>
          <w:p>
            <w:pPr>
              <w:spacing w:after="0"/>
            </w:pPr>
            <w:r/>
            <w:r>
              <w:rPr>
                <w:rFonts w:ascii="Noto Sans CJK SC" w:hAnsi="Noto Sans CJK SC" w:eastAsia="Noto Sans CJK SC"/>
                <w:b/>
                <w:sz w:val="14"/>
              </w:rPr>
              <w:t>核心数值/结论</w:t>
            </w:r>
          </w:p>
        </w:tc>
        <w:tc>
          <w:tcPr>
            <w:tcW w:type="dxa" w:w="3118"/>
            <w:shd w:fill="D9EAF7"/>
            <w:vAlign w:val="center"/>
          </w:tcPr>
          <w:p>
            <w:pPr>
              <w:spacing w:after="0"/>
            </w:pPr>
            <w:r/>
            <w:r>
              <w:rPr>
                <w:rFonts w:ascii="Noto Sans CJK SC" w:hAnsi="Noto Sans CJK SC" w:eastAsia="Noto Sans CJK SC"/>
                <w:b/>
                <w:sz w:val="14"/>
              </w:rPr>
              <w:t>对程序的建议</w:t>
            </w:r>
          </w:p>
        </w:tc>
      </w:tr>
      <w:tr>
        <w:tc>
          <w:tcPr>
            <w:tcW w:type="dxa" w:w="1701"/>
            <w:vAlign w:val="top"/>
          </w:tcPr>
          <w:p>
            <w:pPr>
              <w:spacing w:after="0"/>
            </w:pPr>
            <w:r/>
            <w:r>
              <w:rPr>
                <w:rFonts w:ascii="Noto Sans CJK SC" w:hAnsi="Noto Sans CJK SC" w:eastAsia="Noto Sans CJK SC"/>
                <w:b w:val="0"/>
                <w:sz w:val="14"/>
              </w:rPr>
              <w:t>C8 老年睡眠 &lt;5.5h</w:t>
            </w:r>
          </w:p>
        </w:tc>
        <w:tc>
          <w:tcPr>
            <w:tcW w:type="dxa" w:w="2551"/>
            <w:vAlign w:val="top"/>
          </w:tcPr>
          <w:p>
            <w:pPr>
              <w:spacing w:after="0"/>
            </w:pPr>
            <w:r/>
            <w:r>
              <w:rPr>
                <w:rFonts w:ascii="Noto Sans CJK SC" w:hAnsi="Noto Sans CJK SC" w:eastAsia="Noto Sans CJK SC"/>
                <w:b w:val="0"/>
                <w:sz w:val="14"/>
              </w:rPr>
              <w:t>AASM/Sleep Research Society 2015 共识</w:t>
            </w:r>
          </w:p>
        </w:tc>
        <w:tc>
          <w:tcPr>
            <w:tcW w:type="dxa" w:w="2381"/>
            <w:vAlign w:val="top"/>
          </w:tcPr>
          <w:p>
            <w:pPr>
              <w:spacing w:after="0"/>
            </w:pPr>
            <w:r/>
            <w:r>
              <w:rPr>
                <w:rFonts w:ascii="Noto Sans CJK SC" w:hAnsi="Noto Sans CJK SC" w:eastAsia="Noto Sans CJK SC"/>
                <w:b w:val="0"/>
                <w:sz w:val="14"/>
              </w:rPr>
              <w:t>J Clin Sleep Med 2015 成人睡眠时长共识</w:t>
            </w:r>
          </w:p>
        </w:tc>
        <w:tc>
          <w:tcPr>
            <w:tcW w:type="dxa" w:w="3118"/>
            <w:vAlign w:val="top"/>
          </w:tcPr>
          <w:p>
            <w:pPr>
              <w:spacing w:after="0"/>
            </w:pPr>
            <w:r/>
            <w:r>
              <w:rPr>
                <w:rFonts w:ascii="Noto Sans CJK SC" w:hAnsi="Noto Sans CJK SC" w:eastAsia="Noto Sans CJK SC"/>
                <w:b w:val="0"/>
                <w:sz w:val="14"/>
              </w:rPr>
              <w:t>成人规律睡眠建议 &gt;=7小时/夜；少于7小时与多种不良健康结局相关。</w:t>
            </w:r>
          </w:p>
        </w:tc>
        <w:tc>
          <w:tcPr>
            <w:tcW w:type="dxa" w:w="3118"/>
            <w:vAlign w:val="top"/>
          </w:tcPr>
          <w:p>
            <w:pPr>
              <w:spacing w:after="0"/>
            </w:pPr>
            <w:r/>
            <w:r>
              <w:rPr>
                <w:rFonts w:ascii="Noto Sans CJK SC" w:hAnsi="Noto Sans CJK SC" w:eastAsia="Noto Sans CJK SC"/>
                <w:b w:val="0"/>
                <w:sz w:val="14"/>
              </w:rPr>
              <w:t>&lt;5.5h 可作为较严重不足提示线，但不应暗示 5.5-7h 对老人一定正常。</w:t>
            </w:r>
          </w:p>
        </w:tc>
      </w:tr>
      <w:tr>
        <w:tc>
          <w:tcPr>
            <w:tcW w:type="dxa" w:w="1701"/>
            <w:vAlign w:val="top"/>
          </w:tcPr>
          <w:p>
            <w:pPr>
              <w:spacing w:after="0"/>
            </w:pPr>
            <w:r/>
            <w:r>
              <w:rPr>
                <w:rFonts w:ascii="Noto Sans CJK SC" w:hAnsi="Noto Sans CJK SC" w:eastAsia="Noto Sans CJK SC"/>
                <w:b w:val="0"/>
                <w:sz w:val="14"/>
              </w:rPr>
              <w:t>C8 老年睡眠</w:t>
            </w:r>
          </w:p>
        </w:tc>
        <w:tc>
          <w:tcPr>
            <w:tcW w:type="dxa" w:w="2551"/>
            <w:vAlign w:val="top"/>
          </w:tcPr>
          <w:p>
            <w:pPr>
              <w:spacing w:after="0"/>
            </w:pPr>
            <w:r/>
            <w:r>
              <w:rPr>
                <w:rFonts w:ascii="Noto Sans CJK SC" w:hAnsi="Noto Sans CJK SC" w:eastAsia="Noto Sans CJK SC"/>
                <w:b w:val="0"/>
                <w:sz w:val="14"/>
              </w:rPr>
              <w:t>National Sleep Foundation 2015</w:t>
            </w:r>
          </w:p>
        </w:tc>
        <w:tc>
          <w:tcPr>
            <w:tcW w:type="dxa" w:w="2381"/>
            <w:vAlign w:val="top"/>
          </w:tcPr>
          <w:p>
            <w:pPr>
              <w:spacing w:after="0"/>
            </w:pPr>
            <w:r/>
            <w:r>
              <w:rPr>
                <w:rFonts w:ascii="Noto Sans CJK SC" w:hAnsi="Noto Sans CJK SC" w:eastAsia="Noto Sans CJK SC"/>
                <w:b w:val="0"/>
                <w:sz w:val="14"/>
              </w:rPr>
              <w:t>Sleep Health 2015</w:t>
            </w:r>
          </w:p>
        </w:tc>
        <w:tc>
          <w:tcPr>
            <w:tcW w:type="dxa" w:w="3118"/>
            <w:vAlign w:val="top"/>
          </w:tcPr>
          <w:p>
            <w:pPr>
              <w:spacing w:after="0"/>
            </w:pPr>
            <w:r/>
            <w:r>
              <w:rPr>
                <w:rFonts w:ascii="Noto Sans CJK SC" w:hAnsi="Noto Sans CJK SC" w:eastAsia="Noto Sans CJK SC"/>
                <w:b w:val="0"/>
                <w:sz w:val="14"/>
              </w:rPr>
              <w:t>老年人推荐睡眠时长 7-8小时；成人 7-9小时。</w:t>
            </w:r>
          </w:p>
        </w:tc>
        <w:tc>
          <w:tcPr>
            <w:tcW w:type="dxa" w:w="3118"/>
            <w:vAlign w:val="top"/>
          </w:tcPr>
          <w:p>
            <w:pPr>
              <w:spacing w:after="0"/>
            </w:pPr>
            <w:r/>
            <w:r>
              <w:rPr>
                <w:rFonts w:ascii="Noto Sans CJK SC" w:hAnsi="Noto Sans CJK SC" w:eastAsia="Noto Sans CJK SC"/>
                <w:b w:val="0"/>
                <w:sz w:val="14"/>
              </w:rPr>
              <w:t>若程序面向老年人，建议将“目标/建议范围”和“严重不足阈值”分开。</w:t>
            </w:r>
          </w:p>
        </w:tc>
      </w:tr>
      <w:tr>
        <w:tc>
          <w:tcPr>
            <w:tcW w:type="dxa" w:w="1701"/>
            <w:vAlign w:val="top"/>
          </w:tcPr>
          <w:p>
            <w:pPr>
              <w:spacing w:after="0"/>
            </w:pPr>
            <w:r/>
            <w:r>
              <w:rPr>
                <w:rFonts w:ascii="Noto Sans CJK SC" w:hAnsi="Noto Sans CJK SC" w:eastAsia="Noto Sans CJK SC"/>
                <w:b w:val="0"/>
                <w:sz w:val="14"/>
              </w:rPr>
              <w:t>C8 中国睡眠健康信息</w:t>
            </w:r>
          </w:p>
        </w:tc>
        <w:tc>
          <w:tcPr>
            <w:tcW w:type="dxa" w:w="2551"/>
            <w:vAlign w:val="top"/>
          </w:tcPr>
          <w:p>
            <w:pPr>
              <w:spacing w:after="0"/>
            </w:pPr>
            <w:r/>
            <w:r>
              <w:rPr>
                <w:rFonts w:ascii="Noto Sans CJK SC" w:hAnsi="Noto Sans CJK SC" w:eastAsia="Noto Sans CJK SC"/>
                <w:b w:val="0"/>
                <w:sz w:val="14"/>
              </w:rPr>
              <w:t>全国爱卫办/国家卫健委相关睡眠健康资料 2025</w:t>
            </w:r>
          </w:p>
        </w:tc>
        <w:tc>
          <w:tcPr>
            <w:tcW w:type="dxa" w:w="2381"/>
            <w:vAlign w:val="top"/>
          </w:tcPr>
          <w:p>
            <w:pPr>
              <w:spacing w:after="0"/>
            </w:pPr>
            <w:r/>
            <w:r>
              <w:rPr>
                <w:rFonts w:ascii="Noto Sans CJK SC" w:hAnsi="Noto Sans CJK SC" w:eastAsia="Noto Sans CJK SC"/>
                <w:b w:val="0"/>
                <w:sz w:val="14"/>
              </w:rPr>
              <w:t>睡眠健康核心信息及释义相关页面</w:t>
            </w:r>
          </w:p>
        </w:tc>
        <w:tc>
          <w:tcPr>
            <w:tcW w:type="dxa" w:w="3118"/>
            <w:vAlign w:val="top"/>
          </w:tcPr>
          <w:p>
            <w:pPr>
              <w:spacing w:after="0"/>
            </w:pPr>
            <w:r/>
            <w:r>
              <w:rPr>
                <w:rFonts w:ascii="Noto Sans CJK SC" w:hAnsi="Noto Sans CJK SC" w:eastAsia="Noto Sans CJK SC"/>
                <w:b w:val="0"/>
                <w:sz w:val="14"/>
              </w:rPr>
              <w:t>公开健康信息强调不同年龄段睡眠需求不同，老年人常见睡眠时长缩短、早醒等问题。</w:t>
            </w:r>
          </w:p>
        </w:tc>
        <w:tc>
          <w:tcPr>
            <w:tcW w:type="dxa" w:w="3118"/>
            <w:vAlign w:val="top"/>
          </w:tcPr>
          <w:p>
            <w:pPr>
              <w:spacing w:after="0"/>
            </w:pPr>
            <w:r/>
            <w:r>
              <w:rPr>
                <w:rFonts w:ascii="Noto Sans CJK SC" w:hAnsi="Noto Sans CJK SC" w:eastAsia="Noto Sans CJK SC"/>
                <w:b w:val="0"/>
                <w:sz w:val="14"/>
              </w:rPr>
              <w:t>可作为中文用户提示文案参考，但正式阈值仍需临床确认。</w:t>
            </w:r>
          </w:p>
        </w:tc>
      </w:tr>
      <w:tr>
        <w:tc>
          <w:tcPr>
            <w:tcW w:type="dxa" w:w="1701"/>
            <w:vAlign w:val="top"/>
          </w:tcPr>
          <w:p>
            <w:pPr>
              <w:spacing w:after="0"/>
            </w:pPr>
            <w:r/>
            <w:r>
              <w:rPr>
                <w:rFonts w:ascii="Noto Sans CJK SC" w:hAnsi="Noto Sans CJK SC" w:eastAsia="Noto Sans CJK SC"/>
                <w:b w:val="0"/>
                <w:sz w:val="14"/>
              </w:rPr>
              <w:t>C14 腕式参考非诊断</w:t>
            </w:r>
          </w:p>
        </w:tc>
        <w:tc>
          <w:tcPr>
            <w:tcW w:type="dxa" w:w="2551"/>
            <w:vAlign w:val="top"/>
          </w:tcPr>
          <w:p>
            <w:pPr>
              <w:spacing w:after="0"/>
            </w:pPr>
            <w:r/>
            <w:r>
              <w:rPr>
                <w:rFonts w:ascii="Noto Sans CJK SC" w:hAnsi="Noto Sans CJK SC" w:eastAsia="Noto Sans CJK SC"/>
                <w:b w:val="0"/>
                <w:sz w:val="14"/>
              </w:rPr>
              <w:t>AASM Actigraphy Clinical Practice Guideline 2018</w:t>
            </w:r>
          </w:p>
        </w:tc>
        <w:tc>
          <w:tcPr>
            <w:tcW w:type="dxa" w:w="2381"/>
            <w:vAlign w:val="top"/>
          </w:tcPr>
          <w:p>
            <w:pPr>
              <w:spacing w:after="0"/>
            </w:pPr>
            <w:r/>
            <w:r>
              <w:rPr>
                <w:rFonts w:ascii="Noto Sans CJK SC" w:hAnsi="Noto Sans CJK SC" w:eastAsia="Noto Sans CJK SC"/>
                <w:b w:val="0"/>
                <w:sz w:val="14"/>
              </w:rPr>
              <w:t>J Clin Sleep Med 2018</w:t>
            </w:r>
          </w:p>
        </w:tc>
        <w:tc>
          <w:tcPr>
            <w:tcW w:type="dxa" w:w="3118"/>
            <w:vAlign w:val="top"/>
          </w:tcPr>
          <w:p>
            <w:pPr>
              <w:spacing w:after="0"/>
            </w:pPr>
            <w:r/>
            <w:r>
              <w:rPr>
                <w:rFonts w:ascii="Noto Sans CJK SC" w:hAnsi="Noto Sans CJK SC" w:eastAsia="Noto Sans CJK SC"/>
                <w:b w:val="0"/>
                <w:sz w:val="14"/>
              </w:rPr>
              <w:t>活动记录仪可用于部分睡眠障碍/昼夜节律障碍评估，但需置于临床评估框架内。</w:t>
            </w:r>
          </w:p>
        </w:tc>
        <w:tc>
          <w:tcPr>
            <w:tcW w:type="dxa" w:w="3118"/>
            <w:vAlign w:val="top"/>
          </w:tcPr>
          <w:p>
            <w:pPr>
              <w:spacing w:after="0"/>
            </w:pPr>
            <w:r/>
            <w:r>
              <w:rPr>
                <w:rFonts w:ascii="Noto Sans CJK SC" w:hAnsi="Noto Sans CJK SC" w:eastAsia="Noto Sans CJK SC"/>
                <w:b w:val="0"/>
                <w:sz w:val="14"/>
              </w:rPr>
              <w:t>腕式睡眠数据应表述为“参考趋势”，不用于诊断失眠、睡眠呼吸暂停或其他睡眠障碍。</w:t>
            </w:r>
          </w:p>
        </w:tc>
      </w:tr>
    </w:tbl>
    <w:p/>
    <w:p>
      <w:pPr>
        <w:pStyle w:val="Heading1"/>
        <w:spacing w:line="276" w:lineRule="auto" w:after="80"/>
      </w:pPr>
      <w:r>
        <w:rPr>
          <w:rFonts w:ascii="Noto Sans CJK SC" w:hAnsi="Noto Sans CJK SC" w:eastAsia="Noto Sans CJK SC"/>
          <w:b w:val="0"/>
          <w:sz w:val="21"/>
        </w:rPr>
        <w:t>五、静息心率与β阻滞剂场景</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1701"/>
            <w:shd w:fill="D9EAF7"/>
            <w:vAlign w:val="center"/>
          </w:tcPr>
          <w:p>
            <w:pPr>
              <w:spacing w:after="0"/>
            </w:pPr>
            <w:r/>
            <w:r>
              <w:rPr>
                <w:rFonts w:ascii="Noto Sans CJK SC" w:hAnsi="Noto Sans CJK SC" w:eastAsia="Noto Sans CJK SC"/>
                <w:b/>
                <w:sz w:val="14"/>
              </w:rPr>
              <w:t>确认项</w:t>
            </w:r>
          </w:p>
        </w:tc>
        <w:tc>
          <w:tcPr>
            <w:tcW w:type="dxa" w:w="2835"/>
            <w:shd w:fill="D9EAF7"/>
            <w:vAlign w:val="center"/>
          </w:tcPr>
          <w:p>
            <w:pPr>
              <w:spacing w:after="0"/>
            </w:pPr>
            <w:r/>
            <w:r>
              <w:rPr>
                <w:rFonts w:ascii="Noto Sans CJK SC" w:hAnsi="Noto Sans CJK SC" w:eastAsia="Noto Sans CJK SC"/>
                <w:b/>
                <w:sz w:val="14"/>
              </w:rPr>
              <w:t>依据/出处</w:t>
            </w:r>
          </w:p>
        </w:tc>
        <w:tc>
          <w:tcPr>
            <w:tcW w:type="dxa" w:w="2381"/>
            <w:shd w:fill="D9EAF7"/>
            <w:vAlign w:val="center"/>
          </w:tcPr>
          <w:p>
            <w:pPr>
              <w:spacing w:after="0"/>
            </w:pPr>
            <w:r/>
            <w:r>
              <w:rPr>
                <w:rFonts w:ascii="Noto Sans CJK SC" w:hAnsi="Noto Sans CJK SC" w:eastAsia="Noto Sans CJK SC"/>
                <w:b/>
                <w:sz w:val="14"/>
              </w:rPr>
              <w:t>定位</w:t>
            </w:r>
          </w:p>
        </w:tc>
        <w:tc>
          <w:tcPr>
            <w:tcW w:type="dxa" w:w="3118"/>
            <w:shd w:fill="D9EAF7"/>
            <w:vAlign w:val="center"/>
          </w:tcPr>
          <w:p>
            <w:pPr>
              <w:spacing w:after="0"/>
            </w:pPr>
            <w:r/>
            <w:r>
              <w:rPr>
                <w:rFonts w:ascii="Noto Sans CJK SC" w:hAnsi="Noto Sans CJK SC" w:eastAsia="Noto Sans CJK SC"/>
                <w:b/>
                <w:sz w:val="14"/>
              </w:rPr>
              <w:t>核心数值/结论</w:t>
            </w:r>
          </w:p>
        </w:tc>
        <w:tc>
          <w:tcPr>
            <w:tcW w:type="dxa" w:w="3118"/>
            <w:shd w:fill="D9EAF7"/>
            <w:vAlign w:val="center"/>
          </w:tcPr>
          <w:p>
            <w:pPr>
              <w:spacing w:after="0"/>
            </w:pPr>
            <w:r/>
            <w:r>
              <w:rPr>
                <w:rFonts w:ascii="Noto Sans CJK SC" w:hAnsi="Noto Sans CJK SC" w:eastAsia="Noto Sans CJK SC"/>
                <w:b/>
                <w:sz w:val="14"/>
              </w:rPr>
              <w:t>对程序的建议</w:t>
            </w:r>
          </w:p>
        </w:tc>
      </w:tr>
      <w:tr>
        <w:tc>
          <w:tcPr>
            <w:tcW w:type="dxa" w:w="1701"/>
            <w:vAlign w:val="top"/>
          </w:tcPr>
          <w:p>
            <w:pPr>
              <w:spacing w:after="0"/>
            </w:pPr>
            <w:r/>
            <w:r>
              <w:rPr>
                <w:rFonts w:ascii="Noto Sans CJK SC" w:hAnsi="Noto Sans CJK SC" w:eastAsia="Noto Sans CJK SC"/>
                <w:b w:val="0"/>
                <w:sz w:val="14"/>
              </w:rPr>
              <w:t>C9 静息心率 50-80</w:t>
            </w:r>
          </w:p>
        </w:tc>
        <w:tc>
          <w:tcPr>
            <w:tcW w:type="dxa" w:w="2835"/>
            <w:vAlign w:val="top"/>
          </w:tcPr>
          <w:p>
            <w:pPr>
              <w:spacing w:after="0"/>
            </w:pPr>
            <w:r/>
            <w:r>
              <w:rPr>
                <w:rFonts w:ascii="Noto Sans CJK SC" w:hAnsi="Noto Sans CJK SC" w:eastAsia="Noto Sans CJK SC"/>
                <w:b w:val="0"/>
                <w:sz w:val="14"/>
              </w:rPr>
              <w:t>ACC/AHA/HRS 2018 Bradycardia Guideline</w:t>
            </w:r>
          </w:p>
        </w:tc>
        <w:tc>
          <w:tcPr>
            <w:tcW w:type="dxa" w:w="2381"/>
            <w:vAlign w:val="top"/>
          </w:tcPr>
          <w:p>
            <w:pPr>
              <w:spacing w:after="0"/>
            </w:pPr>
            <w:r/>
            <w:r>
              <w:rPr>
                <w:rFonts w:ascii="Noto Sans CJK SC" w:hAnsi="Noto Sans CJK SC" w:eastAsia="Noto Sans CJK SC"/>
                <w:b w:val="0"/>
                <w:sz w:val="14"/>
              </w:rPr>
              <w:t>指南定义段落/Guidelines Made Simple</w:t>
            </w:r>
          </w:p>
        </w:tc>
        <w:tc>
          <w:tcPr>
            <w:tcW w:type="dxa" w:w="3118"/>
            <w:vAlign w:val="top"/>
          </w:tcPr>
          <w:p>
            <w:pPr>
              <w:spacing w:after="0"/>
            </w:pPr>
            <w:r/>
            <w:r>
              <w:rPr>
                <w:rFonts w:ascii="Noto Sans CJK SC" w:hAnsi="Noto Sans CJK SC" w:eastAsia="Noto Sans CJK SC"/>
                <w:b w:val="0"/>
                <w:sz w:val="14"/>
              </w:rPr>
              <w:t>窦性心动过缓常用定义为窦性心率 &lt;50 bpm；窦性停搏 &gt;3秒也被纳入评估。</w:t>
            </w:r>
          </w:p>
        </w:tc>
        <w:tc>
          <w:tcPr>
            <w:tcW w:type="dxa" w:w="3118"/>
            <w:vAlign w:val="top"/>
          </w:tcPr>
          <w:p>
            <w:pPr>
              <w:spacing w:after="0"/>
            </w:pPr>
            <w:r/>
            <w:r>
              <w:rPr>
                <w:rFonts w:ascii="Noto Sans CJK SC" w:hAnsi="Noto Sans CJK SC" w:eastAsia="Noto Sans CJK SC"/>
                <w:b w:val="0"/>
                <w:sz w:val="14"/>
              </w:rPr>
              <w:t>50 bpm 可作为低心率关注点之一，但不应自动判定危险。</w:t>
            </w:r>
          </w:p>
        </w:tc>
      </w:tr>
      <w:tr>
        <w:tc>
          <w:tcPr>
            <w:tcW w:type="dxa" w:w="1701"/>
            <w:vAlign w:val="top"/>
          </w:tcPr>
          <w:p>
            <w:pPr>
              <w:spacing w:after="0"/>
            </w:pPr>
            <w:r/>
            <w:r>
              <w:rPr>
                <w:rFonts w:ascii="Noto Sans CJK SC" w:hAnsi="Noto Sans CJK SC" w:eastAsia="Noto Sans CJK SC"/>
                <w:b w:val="0"/>
                <w:sz w:val="14"/>
              </w:rPr>
              <w:t>C9 症状与个体化</w:t>
            </w:r>
          </w:p>
        </w:tc>
        <w:tc>
          <w:tcPr>
            <w:tcW w:type="dxa" w:w="2835"/>
            <w:vAlign w:val="top"/>
          </w:tcPr>
          <w:p>
            <w:pPr>
              <w:spacing w:after="0"/>
            </w:pPr>
            <w:r/>
            <w:r>
              <w:rPr>
                <w:rFonts w:ascii="Noto Sans CJK SC" w:hAnsi="Noto Sans CJK SC" w:eastAsia="Noto Sans CJK SC"/>
                <w:b w:val="0"/>
                <w:sz w:val="14"/>
              </w:rPr>
              <w:t>ACC/AHA/HRS 2018 Bradycardia Guideline</w:t>
            </w:r>
          </w:p>
        </w:tc>
        <w:tc>
          <w:tcPr>
            <w:tcW w:type="dxa" w:w="2381"/>
            <w:vAlign w:val="top"/>
          </w:tcPr>
          <w:p>
            <w:pPr>
              <w:spacing w:after="0"/>
            </w:pPr>
            <w:r/>
            <w:r>
              <w:rPr>
                <w:rFonts w:ascii="Noto Sans CJK SC" w:hAnsi="Noto Sans CJK SC" w:eastAsia="Noto Sans CJK SC"/>
                <w:b w:val="0"/>
                <w:sz w:val="14"/>
              </w:rPr>
              <w:t>指南核心原则</w:t>
            </w:r>
          </w:p>
        </w:tc>
        <w:tc>
          <w:tcPr>
            <w:tcW w:type="dxa" w:w="3118"/>
            <w:vAlign w:val="top"/>
          </w:tcPr>
          <w:p>
            <w:pPr>
              <w:spacing w:after="0"/>
            </w:pPr>
            <w:r/>
            <w:r>
              <w:rPr>
                <w:rFonts w:ascii="Noto Sans CJK SC" w:hAnsi="Noto Sans CJK SC" w:eastAsia="Noto Sans CJK SC"/>
                <w:b w:val="0"/>
                <w:sz w:val="14"/>
              </w:rPr>
              <w:t>窦房结功能障碍没有一个固定的最低心率或停搏时长可直接决定治疗；需建立症状与心动过缓的时间相关性。</w:t>
            </w:r>
          </w:p>
        </w:tc>
        <w:tc>
          <w:tcPr>
            <w:tcW w:type="dxa" w:w="3118"/>
            <w:vAlign w:val="top"/>
          </w:tcPr>
          <w:p>
            <w:pPr>
              <w:spacing w:after="0"/>
            </w:pPr>
            <w:r/>
            <w:r>
              <w:rPr>
                <w:rFonts w:ascii="Noto Sans CJK SC" w:hAnsi="Noto Sans CJK SC" w:eastAsia="Noto Sans CJK SC"/>
                <w:b w:val="0"/>
                <w:sz w:val="14"/>
              </w:rPr>
              <w:t>对 92岁、多病、用β阻滞剂者，程序应提示“结合症状、用药和医生设定目标”。</w:t>
            </w:r>
          </w:p>
        </w:tc>
      </w:tr>
      <w:tr>
        <w:tc>
          <w:tcPr>
            <w:tcW w:type="dxa" w:w="1701"/>
            <w:vAlign w:val="top"/>
          </w:tcPr>
          <w:p>
            <w:pPr>
              <w:spacing w:after="0"/>
            </w:pPr>
            <w:r/>
            <w:r>
              <w:rPr>
                <w:rFonts w:ascii="Noto Sans CJK SC" w:hAnsi="Noto Sans CJK SC" w:eastAsia="Noto Sans CJK SC"/>
                <w:b w:val="0"/>
                <w:sz w:val="14"/>
              </w:rPr>
              <w:t>C9 欧洲参考</w:t>
            </w:r>
          </w:p>
        </w:tc>
        <w:tc>
          <w:tcPr>
            <w:tcW w:type="dxa" w:w="2835"/>
            <w:vAlign w:val="top"/>
          </w:tcPr>
          <w:p>
            <w:pPr>
              <w:spacing w:after="0"/>
            </w:pPr>
            <w:r/>
            <w:r>
              <w:rPr>
                <w:rFonts w:ascii="Noto Sans CJK SC" w:hAnsi="Noto Sans CJK SC" w:eastAsia="Noto Sans CJK SC"/>
                <w:b w:val="0"/>
                <w:sz w:val="14"/>
              </w:rPr>
              <w:t>ESC 2021 Cardiac Pacing and CRT Guidelines</w:t>
            </w:r>
          </w:p>
        </w:tc>
        <w:tc>
          <w:tcPr>
            <w:tcW w:type="dxa" w:w="2381"/>
            <w:vAlign w:val="top"/>
          </w:tcPr>
          <w:p>
            <w:pPr>
              <w:spacing w:after="0"/>
            </w:pPr>
            <w:r/>
            <w:r>
              <w:rPr>
                <w:rFonts w:ascii="Noto Sans CJK SC" w:hAnsi="Noto Sans CJK SC" w:eastAsia="Noto Sans CJK SC"/>
                <w:b w:val="0"/>
                <w:sz w:val="14"/>
              </w:rPr>
              <w:t>窦性心动过缓/睡眠相关心动过缓段落</w:t>
            </w:r>
          </w:p>
        </w:tc>
        <w:tc>
          <w:tcPr>
            <w:tcW w:type="dxa" w:w="3118"/>
            <w:vAlign w:val="top"/>
          </w:tcPr>
          <w:p>
            <w:pPr>
              <w:spacing w:after="0"/>
            </w:pPr>
            <w:r/>
            <w:r>
              <w:rPr>
                <w:rFonts w:ascii="Noto Sans CJK SC" w:hAnsi="Noto Sans CJK SC" w:eastAsia="Noto Sans CJK SC"/>
                <w:b w:val="0"/>
                <w:sz w:val="14"/>
              </w:rPr>
              <w:t>静息 40-50 bpm 在部分人群可能为生理性；睡眠相关无症状间歇性心动过缓需考虑睡眠呼吸暂停等原因。</w:t>
            </w:r>
          </w:p>
        </w:tc>
        <w:tc>
          <w:tcPr>
            <w:tcW w:type="dxa" w:w="3118"/>
            <w:vAlign w:val="top"/>
          </w:tcPr>
          <w:p>
            <w:pPr>
              <w:spacing w:after="0"/>
            </w:pPr>
            <w:r/>
            <w:r>
              <w:rPr>
                <w:rFonts w:ascii="Noto Sans CJK SC" w:hAnsi="Noto Sans CJK SC" w:eastAsia="Noto Sans CJK SC"/>
                <w:b w:val="0"/>
                <w:sz w:val="14"/>
              </w:rPr>
              <w:t>β阻滞剂下限45属于个体化产品规则，应由临床确认，不宜写成通用指南阈值。</w:t>
            </w:r>
          </w:p>
        </w:tc>
      </w:tr>
    </w:tbl>
    <w:p/>
    <w:p>
      <w:pPr>
        <w:pStyle w:val="Heading1"/>
        <w:spacing w:line="276" w:lineRule="auto" w:after="80"/>
      </w:pPr>
      <w:r>
        <w:rPr>
          <w:rFonts w:ascii="Noto Sans CJK SC" w:hAnsi="Noto Sans CJK SC" w:eastAsia="Noto Sans CJK SC"/>
          <w:b w:val="0"/>
          <w:sz w:val="21"/>
        </w:rPr>
        <w:t>六、步数与身体活动</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1701"/>
            <w:shd w:fill="D9EAF7"/>
            <w:vAlign w:val="center"/>
          </w:tcPr>
          <w:p>
            <w:pPr>
              <w:spacing w:after="0"/>
            </w:pPr>
            <w:r/>
            <w:r>
              <w:rPr>
                <w:rFonts w:ascii="Noto Sans CJK SC" w:hAnsi="Noto Sans CJK SC" w:eastAsia="Noto Sans CJK SC"/>
                <w:b/>
                <w:sz w:val="14"/>
              </w:rPr>
              <w:t>确认项</w:t>
            </w:r>
          </w:p>
        </w:tc>
        <w:tc>
          <w:tcPr>
            <w:tcW w:type="dxa" w:w="2835"/>
            <w:shd w:fill="D9EAF7"/>
            <w:vAlign w:val="center"/>
          </w:tcPr>
          <w:p>
            <w:pPr>
              <w:spacing w:after="0"/>
            </w:pPr>
            <w:r/>
            <w:r>
              <w:rPr>
                <w:rFonts w:ascii="Noto Sans CJK SC" w:hAnsi="Noto Sans CJK SC" w:eastAsia="Noto Sans CJK SC"/>
                <w:b/>
                <w:sz w:val="14"/>
              </w:rPr>
              <w:t>依据/出处</w:t>
            </w:r>
          </w:p>
        </w:tc>
        <w:tc>
          <w:tcPr>
            <w:tcW w:type="dxa" w:w="2381"/>
            <w:shd w:fill="D9EAF7"/>
            <w:vAlign w:val="center"/>
          </w:tcPr>
          <w:p>
            <w:pPr>
              <w:spacing w:after="0"/>
            </w:pPr>
            <w:r/>
            <w:r>
              <w:rPr>
                <w:rFonts w:ascii="Noto Sans CJK SC" w:hAnsi="Noto Sans CJK SC" w:eastAsia="Noto Sans CJK SC"/>
                <w:b/>
                <w:sz w:val="14"/>
              </w:rPr>
              <w:t>定位</w:t>
            </w:r>
          </w:p>
        </w:tc>
        <w:tc>
          <w:tcPr>
            <w:tcW w:type="dxa" w:w="3118"/>
            <w:shd w:fill="D9EAF7"/>
            <w:vAlign w:val="center"/>
          </w:tcPr>
          <w:p>
            <w:pPr>
              <w:spacing w:after="0"/>
            </w:pPr>
            <w:r/>
            <w:r>
              <w:rPr>
                <w:rFonts w:ascii="Noto Sans CJK SC" w:hAnsi="Noto Sans CJK SC" w:eastAsia="Noto Sans CJK SC"/>
                <w:b/>
                <w:sz w:val="14"/>
              </w:rPr>
              <w:t>核心数值/结论</w:t>
            </w:r>
          </w:p>
        </w:tc>
        <w:tc>
          <w:tcPr>
            <w:tcW w:type="dxa" w:w="3118"/>
            <w:shd w:fill="D9EAF7"/>
            <w:vAlign w:val="center"/>
          </w:tcPr>
          <w:p>
            <w:pPr>
              <w:spacing w:after="0"/>
            </w:pPr>
            <w:r/>
            <w:r>
              <w:rPr>
                <w:rFonts w:ascii="Noto Sans CJK SC" w:hAnsi="Noto Sans CJK SC" w:eastAsia="Noto Sans CJK SC"/>
                <w:b/>
                <w:sz w:val="14"/>
              </w:rPr>
              <w:t>对程序的建议</w:t>
            </w:r>
          </w:p>
        </w:tc>
      </w:tr>
      <w:tr>
        <w:tc>
          <w:tcPr>
            <w:tcW w:type="dxa" w:w="1701"/>
            <w:vAlign w:val="top"/>
          </w:tcPr>
          <w:p>
            <w:pPr>
              <w:spacing w:after="0"/>
            </w:pPr>
            <w:r/>
            <w:r>
              <w:rPr>
                <w:rFonts w:ascii="Noto Sans CJK SC" w:hAnsi="Noto Sans CJK SC" w:eastAsia="Noto Sans CJK SC"/>
                <w:b w:val="0"/>
                <w:sz w:val="14"/>
              </w:rPr>
              <w:t>C10 &lt;3000 / &gt;=7000</w:t>
            </w:r>
          </w:p>
        </w:tc>
        <w:tc>
          <w:tcPr>
            <w:tcW w:type="dxa" w:w="2835"/>
            <w:vAlign w:val="top"/>
          </w:tcPr>
          <w:p>
            <w:pPr>
              <w:spacing w:after="0"/>
            </w:pPr>
            <w:r/>
            <w:r>
              <w:rPr>
                <w:rFonts w:ascii="Noto Sans CJK SC" w:hAnsi="Noto Sans CJK SC" w:eastAsia="Noto Sans CJK SC"/>
                <w:b w:val="0"/>
                <w:sz w:val="14"/>
              </w:rPr>
              <w:t>WHO 2020 身体活动和久坐行为指南</w:t>
            </w:r>
          </w:p>
        </w:tc>
        <w:tc>
          <w:tcPr>
            <w:tcW w:type="dxa" w:w="2381"/>
            <w:vAlign w:val="top"/>
          </w:tcPr>
          <w:p>
            <w:pPr>
              <w:spacing w:after="0"/>
            </w:pPr>
            <w:r/>
            <w:r>
              <w:rPr>
                <w:rFonts w:ascii="Noto Sans CJK SC" w:hAnsi="Noto Sans CJK SC" w:eastAsia="Noto Sans CJK SC"/>
                <w:b w:val="0"/>
                <w:sz w:val="14"/>
              </w:rPr>
              <w:t>成年人/老年人推荐章节</w:t>
            </w:r>
          </w:p>
        </w:tc>
        <w:tc>
          <w:tcPr>
            <w:tcW w:type="dxa" w:w="3118"/>
            <w:vAlign w:val="top"/>
          </w:tcPr>
          <w:p>
            <w:pPr>
              <w:spacing w:after="0"/>
            </w:pPr>
            <w:r/>
            <w:r>
              <w:rPr>
                <w:rFonts w:ascii="Noto Sans CJK SC" w:hAnsi="Noto Sans CJK SC" w:eastAsia="Noto Sans CJK SC"/>
                <w:b w:val="0"/>
                <w:sz w:val="14"/>
              </w:rPr>
              <w:t>老年人每周 150-300 分钟中等强度有氧活动，或 75-150 分钟高强度活动；每周≥3天多组分平衡/力量训练；能力不达标者也应从少量开始。</w:t>
            </w:r>
          </w:p>
        </w:tc>
        <w:tc>
          <w:tcPr>
            <w:tcW w:type="dxa" w:w="3118"/>
            <w:vAlign w:val="top"/>
          </w:tcPr>
          <w:p>
            <w:pPr>
              <w:spacing w:after="0"/>
            </w:pPr>
            <w:r/>
            <w:r>
              <w:rPr>
                <w:rFonts w:ascii="Noto Sans CJK SC" w:hAnsi="Noto Sans CJK SC" w:eastAsia="Noto Sans CJK SC"/>
                <w:b w:val="0"/>
                <w:sz w:val="14"/>
              </w:rPr>
              <w:t>WHO 不给固定步数阈值；程序应避免把7000步写成所有老人的临床达标线。</w:t>
            </w:r>
          </w:p>
        </w:tc>
      </w:tr>
      <w:tr>
        <w:tc>
          <w:tcPr>
            <w:tcW w:type="dxa" w:w="1701"/>
            <w:vAlign w:val="top"/>
          </w:tcPr>
          <w:p>
            <w:pPr>
              <w:spacing w:after="0"/>
            </w:pPr>
            <w:r/>
            <w:r>
              <w:rPr>
                <w:rFonts w:ascii="Noto Sans CJK SC" w:hAnsi="Noto Sans CJK SC" w:eastAsia="Noto Sans CJK SC"/>
                <w:b w:val="0"/>
                <w:sz w:val="14"/>
              </w:rPr>
              <w:t>C10 中国</w:t>
            </w:r>
          </w:p>
        </w:tc>
        <w:tc>
          <w:tcPr>
            <w:tcW w:type="dxa" w:w="2835"/>
            <w:vAlign w:val="top"/>
          </w:tcPr>
          <w:p>
            <w:pPr>
              <w:spacing w:after="0"/>
            </w:pPr>
            <w:r/>
            <w:r>
              <w:rPr>
                <w:rFonts w:ascii="Noto Sans CJK SC" w:hAnsi="Noto Sans CJK SC" w:eastAsia="Noto Sans CJK SC"/>
                <w:b w:val="0"/>
                <w:sz w:val="14"/>
              </w:rPr>
              <w:t>Physical Activity Guidelines for Chinese 2021</w:t>
            </w:r>
          </w:p>
        </w:tc>
        <w:tc>
          <w:tcPr>
            <w:tcW w:type="dxa" w:w="2381"/>
            <w:vAlign w:val="top"/>
          </w:tcPr>
          <w:p>
            <w:pPr>
              <w:spacing w:after="0"/>
            </w:pPr>
            <w:r/>
            <w:r>
              <w:rPr>
                <w:rFonts w:ascii="Noto Sans CJK SC" w:hAnsi="Noto Sans CJK SC" w:eastAsia="Noto Sans CJK SC"/>
                <w:b w:val="0"/>
                <w:sz w:val="14"/>
              </w:rPr>
              <w:t>成人与老年人章节</w:t>
            </w:r>
          </w:p>
        </w:tc>
        <w:tc>
          <w:tcPr>
            <w:tcW w:type="dxa" w:w="3118"/>
            <w:vAlign w:val="top"/>
          </w:tcPr>
          <w:p>
            <w:pPr>
              <w:spacing w:after="0"/>
            </w:pPr>
            <w:r/>
            <w:r>
              <w:rPr>
                <w:rFonts w:ascii="Noto Sans CJK SC" w:hAnsi="Noto Sans CJK SC" w:eastAsia="Noto Sans CJK SC"/>
                <w:b w:val="0"/>
                <w:sz w:val="14"/>
              </w:rPr>
              <w:t>成人每周 150-300 分钟中等强度或 75-150 分钟高强度；老年人适用成人建议，且应坚持平衡、灵敏、柔韧活动；慢病患者应咨询医生。</w:t>
            </w:r>
          </w:p>
        </w:tc>
        <w:tc>
          <w:tcPr>
            <w:tcW w:type="dxa" w:w="3118"/>
            <w:vAlign w:val="top"/>
          </w:tcPr>
          <w:p>
            <w:pPr>
              <w:spacing w:after="0"/>
            </w:pPr>
            <w:r/>
            <w:r>
              <w:rPr>
                <w:rFonts w:ascii="Noto Sans CJK SC" w:hAnsi="Noto Sans CJK SC" w:eastAsia="Noto Sans CJK SC"/>
                <w:b w:val="0"/>
                <w:sz w:val="14"/>
              </w:rPr>
              <w:t>对慢病/失能老人建议个体化目标。</w:t>
            </w:r>
          </w:p>
        </w:tc>
      </w:tr>
      <w:tr>
        <w:tc>
          <w:tcPr>
            <w:tcW w:type="dxa" w:w="1701"/>
            <w:vAlign w:val="top"/>
          </w:tcPr>
          <w:p>
            <w:pPr>
              <w:spacing w:after="0"/>
            </w:pPr>
            <w:r/>
            <w:r>
              <w:rPr>
                <w:rFonts w:ascii="Noto Sans CJK SC" w:hAnsi="Noto Sans CJK SC" w:eastAsia="Noto Sans CJK SC"/>
                <w:b w:val="0"/>
                <w:sz w:val="14"/>
              </w:rPr>
              <w:t>C10 美国</w:t>
            </w:r>
          </w:p>
        </w:tc>
        <w:tc>
          <w:tcPr>
            <w:tcW w:type="dxa" w:w="2835"/>
            <w:vAlign w:val="top"/>
          </w:tcPr>
          <w:p>
            <w:pPr>
              <w:spacing w:after="0"/>
            </w:pPr>
            <w:r/>
            <w:r>
              <w:rPr>
                <w:rFonts w:ascii="Noto Sans CJK SC" w:hAnsi="Noto Sans CJK SC" w:eastAsia="Noto Sans CJK SC"/>
                <w:b w:val="0"/>
                <w:sz w:val="14"/>
              </w:rPr>
              <w:t>Physical Activity Guidelines for Americans 2nd ed. 2018</w:t>
            </w:r>
          </w:p>
        </w:tc>
        <w:tc>
          <w:tcPr>
            <w:tcW w:type="dxa" w:w="2381"/>
            <w:vAlign w:val="top"/>
          </w:tcPr>
          <w:p>
            <w:pPr>
              <w:spacing w:after="0"/>
            </w:pPr>
            <w:r/>
            <w:r>
              <w:rPr>
                <w:rFonts w:ascii="Noto Sans CJK SC" w:hAnsi="Noto Sans CJK SC" w:eastAsia="Noto Sans CJK SC"/>
                <w:b w:val="0"/>
                <w:sz w:val="14"/>
              </w:rPr>
              <w:t>成人/老年人建议</w:t>
            </w:r>
          </w:p>
        </w:tc>
        <w:tc>
          <w:tcPr>
            <w:tcW w:type="dxa" w:w="3118"/>
            <w:vAlign w:val="top"/>
          </w:tcPr>
          <w:p>
            <w:pPr>
              <w:spacing w:after="0"/>
            </w:pPr>
            <w:r/>
            <w:r>
              <w:rPr>
                <w:rFonts w:ascii="Noto Sans CJK SC" w:hAnsi="Noto Sans CJK SC" w:eastAsia="Noto Sans CJK SC"/>
                <w:b w:val="0"/>
                <w:sz w:val="14"/>
              </w:rPr>
              <w:t>成人每周 150-300 分钟中等强度或 75-150 分钟高强度；老年人应包含平衡、力量和有氧活动。</w:t>
            </w:r>
          </w:p>
        </w:tc>
        <w:tc>
          <w:tcPr>
            <w:tcW w:type="dxa" w:w="3118"/>
            <w:vAlign w:val="top"/>
          </w:tcPr>
          <w:p>
            <w:pPr>
              <w:spacing w:after="0"/>
            </w:pPr>
            <w:r/>
            <w:r>
              <w:rPr>
                <w:rFonts w:ascii="Noto Sans CJK SC" w:hAnsi="Noto Sans CJK SC" w:eastAsia="Noto Sans CJK SC"/>
                <w:b w:val="0"/>
                <w:sz w:val="14"/>
              </w:rPr>
              <w:t>活动分钟数比固定步数更符合指南。</w:t>
            </w:r>
          </w:p>
        </w:tc>
      </w:tr>
      <w:tr>
        <w:tc>
          <w:tcPr>
            <w:tcW w:type="dxa" w:w="1701"/>
            <w:vAlign w:val="top"/>
          </w:tcPr>
          <w:p>
            <w:pPr>
              <w:spacing w:after="0"/>
            </w:pPr>
            <w:r/>
            <w:r>
              <w:rPr>
                <w:rFonts w:ascii="Noto Sans CJK SC" w:hAnsi="Noto Sans CJK SC" w:eastAsia="Noto Sans CJK SC"/>
                <w:b w:val="0"/>
                <w:sz w:val="14"/>
              </w:rPr>
              <w:t>C10 日本</w:t>
            </w:r>
          </w:p>
        </w:tc>
        <w:tc>
          <w:tcPr>
            <w:tcW w:type="dxa" w:w="2835"/>
            <w:vAlign w:val="top"/>
          </w:tcPr>
          <w:p>
            <w:pPr>
              <w:spacing w:after="0"/>
            </w:pPr>
            <w:r/>
            <w:r>
              <w:rPr>
                <w:rFonts w:ascii="Noto Sans CJK SC" w:hAnsi="Noto Sans CJK SC" w:eastAsia="Noto Sans CJK SC"/>
                <w:b w:val="0"/>
                <w:sz w:val="14"/>
              </w:rPr>
              <w:t>MHLW Physical Activity Guide for Health Promotion 2023</w:t>
            </w:r>
          </w:p>
        </w:tc>
        <w:tc>
          <w:tcPr>
            <w:tcW w:type="dxa" w:w="2381"/>
            <w:vAlign w:val="top"/>
          </w:tcPr>
          <w:p>
            <w:pPr>
              <w:spacing w:after="0"/>
            </w:pPr>
            <w:r/>
            <w:r>
              <w:rPr>
                <w:rFonts w:ascii="Noto Sans CJK SC" w:hAnsi="Noto Sans CJK SC" w:eastAsia="Noto Sans CJK SC"/>
                <w:b w:val="0"/>
                <w:sz w:val="14"/>
              </w:rPr>
              <w:t>Older adults 部分</w:t>
            </w:r>
          </w:p>
        </w:tc>
        <w:tc>
          <w:tcPr>
            <w:tcW w:type="dxa" w:w="3118"/>
            <w:vAlign w:val="top"/>
          </w:tcPr>
          <w:p>
            <w:pPr>
              <w:spacing w:after="0"/>
            </w:pPr>
            <w:r/>
            <w:r>
              <w:rPr>
                <w:rFonts w:ascii="Noto Sans CJK SC" w:hAnsi="Noto Sans CJK SC" w:eastAsia="Noto Sans CJK SC"/>
                <w:b w:val="0"/>
                <w:sz w:val="14"/>
              </w:rPr>
              <w:t>日本高龄者目标常以 6000 步/日及每日约40分钟身体活动作为参考，并强调做不到也应增加可行活动。</w:t>
            </w:r>
          </w:p>
        </w:tc>
        <w:tc>
          <w:tcPr>
            <w:tcW w:type="dxa" w:w="3118"/>
            <w:vAlign w:val="top"/>
          </w:tcPr>
          <w:p>
            <w:pPr>
              <w:spacing w:after="0"/>
            </w:pPr>
            <w:r/>
            <w:r>
              <w:rPr>
                <w:rFonts w:ascii="Noto Sans CJK SC" w:hAnsi="Noto Sans CJK SC" w:eastAsia="Noto Sans CJK SC"/>
                <w:b w:val="0"/>
                <w:sz w:val="14"/>
              </w:rPr>
              <w:t>若程序需要步数目标，6000步/日可作为日本官方老年参考之一；7000步对高龄失能者可能过高。</w:t>
            </w:r>
          </w:p>
        </w:tc>
      </w:tr>
    </w:tbl>
    <w:p/>
    <w:p>
      <w:pPr>
        <w:pStyle w:val="Heading1"/>
        <w:spacing w:line="276" w:lineRule="auto" w:after="80"/>
      </w:pPr>
      <w:r>
        <w:rPr>
          <w:rFonts w:ascii="Noto Sans CJK SC" w:hAnsi="Noto Sans CJK SC" w:eastAsia="Noto Sans CJK SC"/>
          <w:b w:val="0"/>
          <w:sz w:val="21"/>
        </w:rPr>
        <w:t>七、建议纳入程序的依据性表述</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1701"/>
            <w:shd w:fill="D9EAF7"/>
            <w:vAlign w:val="center"/>
          </w:tcPr>
          <w:p>
            <w:pPr>
              <w:spacing w:after="0"/>
            </w:pPr>
            <w:r/>
            <w:r>
              <w:rPr>
                <w:rFonts w:ascii="Noto Sans CJK SC" w:hAnsi="Noto Sans CJK SC" w:eastAsia="Noto Sans CJK SC"/>
                <w:b/>
                <w:sz w:val="14"/>
              </w:rPr>
              <w:t>程序模块</w:t>
            </w:r>
          </w:p>
        </w:tc>
        <w:tc>
          <w:tcPr>
            <w:tcW w:type="dxa" w:w="4535"/>
            <w:shd w:fill="D9EAF7"/>
            <w:vAlign w:val="center"/>
          </w:tcPr>
          <w:p>
            <w:pPr>
              <w:spacing w:after="0"/>
            </w:pPr>
            <w:r/>
            <w:r>
              <w:rPr>
                <w:rFonts w:ascii="Noto Sans CJK SC" w:hAnsi="Noto Sans CJK SC" w:eastAsia="Noto Sans CJK SC"/>
                <w:b/>
                <w:sz w:val="14"/>
              </w:rPr>
              <w:t>建议写入的依据性表述</w:t>
            </w:r>
          </w:p>
        </w:tc>
        <w:tc>
          <w:tcPr>
            <w:tcW w:type="dxa" w:w="4535"/>
            <w:shd w:fill="D9EAF7"/>
            <w:vAlign w:val="center"/>
          </w:tcPr>
          <w:p>
            <w:pPr>
              <w:spacing w:after="0"/>
            </w:pPr>
            <w:r/>
            <w:r>
              <w:rPr>
                <w:rFonts w:ascii="Noto Sans CJK SC" w:hAnsi="Noto Sans CJK SC" w:eastAsia="Noto Sans CJK SC"/>
                <w:b/>
                <w:sz w:val="14"/>
              </w:rPr>
              <w:t>不可写/需避免的表述</w:t>
            </w:r>
          </w:p>
        </w:tc>
      </w:tr>
      <w:tr>
        <w:tc>
          <w:tcPr>
            <w:tcW w:type="dxa" w:w="1701"/>
            <w:vAlign w:val="top"/>
          </w:tcPr>
          <w:p>
            <w:pPr>
              <w:spacing w:after="0"/>
            </w:pPr>
            <w:r/>
            <w:r>
              <w:rPr>
                <w:rFonts w:ascii="Noto Sans CJK SC" w:hAnsi="Noto Sans CJK SC" w:eastAsia="Noto Sans CJK SC"/>
                <w:b w:val="0"/>
                <w:sz w:val="14"/>
              </w:rPr>
              <w:t>血氧通用阈值</w:t>
            </w:r>
          </w:p>
        </w:tc>
        <w:tc>
          <w:tcPr>
            <w:tcW w:type="dxa" w:w="4535"/>
            <w:vAlign w:val="top"/>
          </w:tcPr>
          <w:p>
            <w:pPr>
              <w:spacing w:after="0"/>
            </w:pPr>
            <w:r/>
            <w:r>
              <w:rPr>
                <w:rFonts w:ascii="Noto Sans CJK SC" w:hAnsi="Noto Sans CJK SC" w:eastAsia="Noto Sans CJK SC"/>
                <w:b w:val="0"/>
                <w:sz w:val="14"/>
              </w:rPr>
              <w:t>非高碳酸血症风险者在急性氧疗场景常以 SpO2 94-98% 为目标；程序将 &lt;95% 作为留意参考、&lt;90% 作为明显偏低提示，需结合症状和复测。</w:t>
            </w:r>
          </w:p>
        </w:tc>
        <w:tc>
          <w:tcPr>
            <w:tcW w:type="dxa" w:w="4535"/>
            <w:vAlign w:val="top"/>
          </w:tcPr>
          <w:p>
            <w:pPr>
              <w:spacing w:after="0"/>
            </w:pPr>
            <w:r/>
            <w:r>
              <w:rPr>
                <w:rFonts w:ascii="Noto Sans CJK SC" w:hAnsi="Noto Sans CJK SC" w:eastAsia="Noto Sans CJK SC"/>
                <w:b w:val="0"/>
                <w:sz w:val="14"/>
              </w:rPr>
              <w:t>不要写成“&lt;95% 即诊断低氧血症”或“&lt;90% 自动代表某疾病”。</w:t>
            </w:r>
          </w:p>
        </w:tc>
      </w:tr>
      <w:tr>
        <w:tc>
          <w:tcPr>
            <w:tcW w:type="dxa" w:w="1701"/>
            <w:vAlign w:val="top"/>
          </w:tcPr>
          <w:p>
            <w:pPr>
              <w:spacing w:after="0"/>
            </w:pPr>
            <w:r/>
            <w:r>
              <w:rPr>
                <w:rFonts w:ascii="Noto Sans CJK SC" w:hAnsi="Noto Sans CJK SC" w:eastAsia="Noto Sans CJK SC"/>
                <w:b w:val="0"/>
                <w:sz w:val="14"/>
              </w:rPr>
              <w:t>COPD/高碳酸血症风险</w:t>
            </w:r>
          </w:p>
        </w:tc>
        <w:tc>
          <w:tcPr>
            <w:tcW w:type="dxa" w:w="4535"/>
            <w:vAlign w:val="top"/>
          </w:tcPr>
          <w:p>
            <w:pPr>
              <w:spacing w:after="0"/>
            </w:pPr>
            <w:r/>
            <w:r>
              <w:rPr>
                <w:rFonts w:ascii="Noto Sans CJK SC" w:hAnsi="Noto Sans CJK SC" w:eastAsia="Noto Sans CJK SC"/>
                <w:b w:val="0"/>
                <w:sz w:val="14"/>
              </w:rPr>
              <w:t>COPD 或高碳酸血症风险场景常见氧疗目标为 88-92%；SpO2/SaO2 &lt;=88% 与严重低氧及长期氧疗评估有关。</w:t>
            </w:r>
          </w:p>
        </w:tc>
        <w:tc>
          <w:tcPr>
            <w:tcW w:type="dxa" w:w="4535"/>
            <w:vAlign w:val="top"/>
          </w:tcPr>
          <w:p>
            <w:pPr>
              <w:spacing w:after="0"/>
            </w:pPr>
            <w:r/>
            <w:r>
              <w:rPr>
                <w:rFonts w:ascii="Noto Sans CJK SC" w:hAnsi="Noto Sans CJK SC" w:eastAsia="Noto Sans CJK SC"/>
                <w:b w:val="0"/>
                <w:sz w:val="14"/>
              </w:rPr>
              <w:t>不要把所有哮喘、COPD 标签用户自动套用同一阈值；不要忽略血气分析和CO2潴留风险。</w:t>
            </w:r>
          </w:p>
        </w:tc>
      </w:tr>
      <w:tr>
        <w:tc>
          <w:tcPr>
            <w:tcW w:type="dxa" w:w="1701"/>
            <w:vAlign w:val="top"/>
          </w:tcPr>
          <w:p>
            <w:pPr>
              <w:spacing w:after="0"/>
            </w:pPr>
            <w:r/>
            <w:r>
              <w:rPr>
                <w:rFonts w:ascii="Noto Sans CJK SC" w:hAnsi="Noto Sans CJK SC" w:eastAsia="Noto Sans CJK SC"/>
                <w:b w:val="0"/>
                <w:sz w:val="14"/>
              </w:rPr>
              <w:t>设备精度</w:t>
            </w:r>
          </w:p>
        </w:tc>
        <w:tc>
          <w:tcPr>
            <w:tcW w:type="dxa" w:w="4535"/>
            <w:vAlign w:val="top"/>
          </w:tcPr>
          <w:p>
            <w:pPr>
              <w:spacing w:after="0"/>
            </w:pPr>
            <w:r/>
            <w:r>
              <w:rPr>
                <w:rFonts w:ascii="Noto Sans CJK SC" w:hAnsi="Noto Sans CJK SC" w:eastAsia="Noto Sans CJK SC"/>
                <w:b w:val="0"/>
                <w:sz w:val="14"/>
              </w:rPr>
              <w:t>脉搏血氧仪是对 SaO2 的间接估计，存在误差；医疗用途设备按相应监管和标准评价，消费级腕式设备不等同医疗诊断设备。</w:t>
            </w:r>
          </w:p>
        </w:tc>
        <w:tc>
          <w:tcPr>
            <w:tcW w:type="dxa" w:w="4535"/>
            <w:vAlign w:val="top"/>
          </w:tcPr>
          <w:p>
            <w:pPr>
              <w:spacing w:after="0"/>
            </w:pPr>
            <w:r/>
            <w:r>
              <w:rPr>
                <w:rFonts w:ascii="Noto Sans CJK SC" w:hAnsi="Noto Sans CJK SC" w:eastAsia="Noto Sans CJK SC"/>
                <w:b w:val="0"/>
                <w:sz w:val="14"/>
              </w:rPr>
              <w:t>不要把消费腕式设备称为“FDA 510(k) 医疗级精度”，除非具体设备证据支持。</w:t>
            </w:r>
          </w:p>
        </w:tc>
      </w:tr>
      <w:tr>
        <w:tc>
          <w:tcPr>
            <w:tcW w:type="dxa" w:w="1701"/>
            <w:vAlign w:val="top"/>
          </w:tcPr>
          <w:p>
            <w:pPr>
              <w:spacing w:after="0"/>
            </w:pPr>
            <w:r/>
            <w:r>
              <w:rPr>
                <w:rFonts w:ascii="Noto Sans CJK SC" w:hAnsi="Noto Sans CJK SC" w:eastAsia="Noto Sans CJK SC"/>
                <w:b w:val="0"/>
                <w:sz w:val="14"/>
              </w:rPr>
              <w:t>睡眠</w:t>
            </w:r>
          </w:p>
        </w:tc>
        <w:tc>
          <w:tcPr>
            <w:tcW w:type="dxa" w:w="4535"/>
            <w:vAlign w:val="top"/>
          </w:tcPr>
          <w:p>
            <w:pPr>
              <w:spacing w:after="0"/>
            </w:pPr>
            <w:r/>
            <w:r>
              <w:rPr>
                <w:rFonts w:ascii="Noto Sans CJK SC" w:hAnsi="Noto Sans CJK SC" w:eastAsia="Noto Sans CJK SC"/>
                <w:b w:val="0"/>
                <w:sz w:val="14"/>
              </w:rPr>
              <w:t>睡眠时长建议用于健康管理参考；腕式睡眠数据用于趋势参考，不能诊断睡眠障碍。</w:t>
            </w:r>
          </w:p>
        </w:tc>
        <w:tc>
          <w:tcPr>
            <w:tcW w:type="dxa" w:w="4535"/>
            <w:vAlign w:val="top"/>
          </w:tcPr>
          <w:p>
            <w:pPr>
              <w:spacing w:after="0"/>
            </w:pPr>
            <w:r/>
            <w:r>
              <w:rPr>
                <w:rFonts w:ascii="Noto Sans CJK SC" w:hAnsi="Noto Sans CJK SC" w:eastAsia="Noto Sans CJK SC"/>
                <w:b w:val="0"/>
                <w:sz w:val="14"/>
              </w:rPr>
              <w:t>不要根据腕表睡眠时长自动诊断失眠、OSA 或其他疾病。</w:t>
            </w:r>
          </w:p>
        </w:tc>
      </w:tr>
      <w:tr>
        <w:tc>
          <w:tcPr>
            <w:tcW w:type="dxa" w:w="1701"/>
            <w:vAlign w:val="top"/>
          </w:tcPr>
          <w:p>
            <w:pPr>
              <w:spacing w:after="0"/>
            </w:pPr>
            <w:r/>
            <w:r>
              <w:rPr>
                <w:rFonts w:ascii="Noto Sans CJK SC" w:hAnsi="Noto Sans CJK SC" w:eastAsia="Noto Sans CJK SC"/>
                <w:b w:val="0"/>
                <w:sz w:val="14"/>
              </w:rPr>
              <w:t>心率</w:t>
            </w:r>
          </w:p>
        </w:tc>
        <w:tc>
          <w:tcPr>
            <w:tcW w:type="dxa" w:w="4535"/>
            <w:vAlign w:val="top"/>
          </w:tcPr>
          <w:p>
            <w:pPr>
              <w:spacing w:after="0"/>
            </w:pPr>
            <w:r/>
            <w:r>
              <w:rPr>
                <w:rFonts w:ascii="Noto Sans CJK SC" w:hAnsi="Noto Sans CJK SC" w:eastAsia="Noto Sans CJK SC"/>
                <w:b w:val="0"/>
                <w:sz w:val="14"/>
              </w:rPr>
              <w:t>静息心率异常提示需结合症状、年龄、用药和基础疾病；低心率阈值需个体化。</w:t>
            </w:r>
          </w:p>
        </w:tc>
        <w:tc>
          <w:tcPr>
            <w:tcW w:type="dxa" w:w="4535"/>
            <w:vAlign w:val="top"/>
          </w:tcPr>
          <w:p>
            <w:pPr>
              <w:spacing w:after="0"/>
            </w:pPr>
            <w:r/>
            <w:r>
              <w:rPr>
                <w:rFonts w:ascii="Noto Sans CJK SC" w:hAnsi="Noto Sans CJK SC" w:eastAsia="Noto Sans CJK SC"/>
                <w:b w:val="0"/>
                <w:sz w:val="14"/>
              </w:rPr>
              <w:t>不要把 45 或 50 bpm 单独作为所有患者的危险/安全分界。</w:t>
            </w:r>
          </w:p>
        </w:tc>
      </w:tr>
      <w:tr>
        <w:tc>
          <w:tcPr>
            <w:tcW w:type="dxa" w:w="1701"/>
            <w:vAlign w:val="top"/>
          </w:tcPr>
          <w:p>
            <w:pPr>
              <w:spacing w:after="0"/>
            </w:pPr>
            <w:r/>
            <w:r>
              <w:rPr>
                <w:rFonts w:ascii="Noto Sans CJK SC" w:hAnsi="Noto Sans CJK SC" w:eastAsia="Noto Sans CJK SC"/>
                <w:b w:val="0"/>
                <w:sz w:val="14"/>
              </w:rPr>
              <w:t>步数</w:t>
            </w:r>
          </w:p>
        </w:tc>
        <w:tc>
          <w:tcPr>
            <w:tcW w:type="dxa" w:w="4535"/>
            <w:vAlign w:val="top"/>
          </w:tcPr>
          <w:p>
            <w:pPr>
              <w:spacing w:after="0"/>
            </w:pPr>
            <w:r/>
            <w:r>
              <w:rPr>
                <w:rFonts w:ascii="Noto Sans CJK SC" w:hAnsi="Noto Sans CJK SC" w:eastAsia="Noto Sans CJK SC"/>
                <w:b w:val="0"/>
                <w:sz w:val="14"/>
              </w:rPr>
              <w:t>身体活动目标应按功能状态个体化；指南更强调每周活动时间、力量和平衡训练。</w:t>
            </w:r>
          </w:p>
        </w:tc>
        <w:tc>
          <w:tcPr>
            <w:tcW w:type="dxa" w:w="4535"/>
            <w:vAlign w:val="top"/>
          </w:tcPr>
          <w:p>
            <w:pPr>
              <w:spacing w:after="0"/>
            </w:pPr>
            <w:r/>
            <w:r>
              <w:rPr>
                <w:rFonts w:ascii="Noto Sans CJK SC" w:hAnsi="Noto Sans CJK SC" w:eastAsia="Noto Sans CJK SC"/>
                <w:b w:val="0"/>
                <w:sz w:val="14"/>
              </w:rPr>
              <w:t>不要把 7000步/日写成失能或卧床高龄者的统一达标线。</w:t>
            </w:r>
          </w:p>
        </w:tc>
      </w:tr>
    </w:tbl>
    <w:p/>
    <w:p>
      <w:pPr>
        <w:pStyle w:val="Heading1"/>
        <w:spacing w:line="276" w:lineRule="auto" w:after="80"/>
      </w:pPr>
      <w:r>
        <w:rPr>
          <w:rFonts w:ascii="Noto Sans CJK SC" w:hAnsi="Noto Sans CJK SC" w:eastAsia="Noto Sans CJK SC"/>
          <w:b w:val="0"/>
          <w:sz w:val="21"/>
        </w:rPr>
        <w:t>八、建议用于程序界面的统一免责声明</w:t>
      </w:r>
    </w:p>
    <w:p>
      <w:pPr>
        <w:pStyle w:val="Heading2"/>
        <w:spacing w:line="276" w:lineRule="auto" w:after="80"/>
      </w:pPr>
      <w:r>
        <w:rPr>
          <w:rFonts w:ascii="Noto Sans CJK SC" w:hAnsi="Noto Sans CJK SC" w:eastAsia="Noto Sans CJK SC"/>
          <w:b w:val="0"/>
          <w:sz w:val="21"/>
        </w:rPr>
        <w:t>建议文案（可由法务/临床进一步确认）：</w:t>
      </w:r>
    </w:p>
    <w:p>
      <w:pPr>
        <w:spacing w:line="276" w:lineRule="auto" w:after="80"/>
      </w:pPr>
      <w:r>
        <w:rPr>
          <w:rFonts w:ascii="Noto Sans CJK SC" w:hAnsi="Noto Sans CJK SC" w:eastAsia="Noto Sans CJK SC"/>
          <w:b w:val="0"/>
          <w:sz w:val="21"/>
        </w:rPr>
        <w:t>本程序显示的血氧、心率、睡眠和活动数据仅用于健康趋势参考，不用于诊断、治疗或替代医生判断。腕式/消费级设备读数可能受佩戴方式、运动、皮肤灌注、肤色、指/腕部温度、设备型号和算法等因素影响。如出现持续异常读数，或伴有气短、胸闷、胸痛、发绀、意识改变、明显乏力、心悸等症状，请及时复测并联系医生或急救服务。请勿仅依据本程序或设备读数自行调整氧疗、药物或其他治疗方案。</w:t>
      </w:r>
    </w:p>
    <w:p>
      <w:pPr>
        <w:pStyle w:val="Heading1"/>
        <w:spacing w:line="276" w:lineRule="auto" w:after="80"/>
      </w:pPr>
      <w:r>
        <w:rPr>
          <w:rFonts w:ascii="Noto Sans CJK SC" w:hAnsi="Noto Sans CJK SC" w:eastAsia="Noto Sans CJK SC"/>
          <w:b w:val="0"/>
          <w:sz w:val="21"/>
        </w:rPr>
        <w:t>九、证据强度与待临床确认结论</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118"/>
            <w:shd w:fill="D9EAF7"/>
            <w:vAlign w:val="center"/>
          </w:tcPr>
          <w:p>
            <w:pPr>
              <w:spacing w:after="0"/>
            </w:pPr>
            <w:r/>
            <w:r>
              <w:rPr>
                <w:rFonts w:ascii="Noto Sans CJK SC" w:hAnsi="Noto Sans CJK SC" w:eastAsia="Noto Sans CJK SC"/>
                <w:b/>
                <w:sz w:val="14"/>
              </w:rPr>
              <w:t>项目</w:t>
            </w:r>
          </w:p>
        </w:tc>
        <w:tc>
          <w:tcPr>
            <w:tcW w:type="dxa" w:w="2835"/>
            <w:shd w:fill="D9EAF7"/>
            <w:vAlign w:val="center"/>
          </w:tcPr>
          <w:p>
            <w:pPr>
              <w:spacing w:after="0"/>
            </w:pPr>
            <w:r/>
            <w:r>
              <w:rPr>
                <w:rFonts w:ascii="Noto Sans CJK SC" w:hAnsi="Noto Sans CJK SC" w:eastAsia="Noto Sans CJK SC"/>
                <w:b/>
                <w:sz w:val="14"/>
              </w:rPr>
              <w:t>当前证据强度</w:t>
            </w:r>
          </w:p>
        </w:tc>
        <w:tc>
          <w:tcPr>
            <w:tcW w:type="dxa" w:w="4819"/>
            <w:shd w:fill="D9EAF7"/>
            <w:vAlign w:val="center"/>
          </w:tcPr>
          <w:p>
            <w:pPr>
              <w:spacing w:after="0"/>
            </w:pPr>
            <w:r/>
            <w:r>
              <w:rPr>
                <w:rFonts w:ascii="Noto Sans CJK SC" w:hAnsi="Noto Sans CJK SC" w:eastAsia="Noto Sans CJK SC"/>
                <w:b/>
                <w:sz w:val="14"/>
              </w:rPr>
              <w:t>结论</w:t>
            </w:r>
          </w:p>
        </w:tc>
      </w:tr>
      <w:tr>
        <w:tc>
          <w:tcPr>
            <w:tcW w:type="dxa" w:w="3118"/>
            <w:vAlign w:val="top"/>
          </w:tcPr>
          <w:p>
            <w:pPr>
              <w:spacing w:after="0"/>
            </w:pPr>
            <w:r/>
            <w:r>
              <w:rPr>
                <w:rFonts w:ascii="Noto Sans CJK SC" w:hAnsi="Noto Sans CJK SC" w:eastAsia="Noto Sans CJK SC"/>
                <w:b w:val="0"/>
                <w:sz w:val="14"/>
              </w:rPr>
              <w:t>COPD 88-92% 目标范围</w:t>
            </w:r>
          </w:p>
        </w:tc>
        <w:tc>
          <w:tcPr>
            <w:tcW w:type="dxa" w:w="2835"/>
            <w:vAlign w:val="top"/>
          </w:tcPr>
          <w:p>
            <w:pPr>
              <w:spacing w:after="0"/>
            </w:pPr>
            <w:r/>
            <w:r>
              <w:rPr>
                <w:rFonts w:ascii="Noto Sans CJK SC" w:hAnsi="Noto Sans CJK SC" w:eastAsia="Noto Sans CJK SC"/>
                <w:b w:val="0"/>
                <w:sz w:val="14"/>
              </w:rPr>
              <w:t>较强：中、英/欧、美、日资料方向一致</w:t>
            </w:r>
          </w:p>
        </w:tc>
        <w:tc>
          <w:tcPr>
            <w:tcW w:type="dxa" w:w="4819"/>
            <w:vAlign w:val="top"/>
          </w:tcPr>
          <w:p>
            <w:pPr>
              <w:spacing w:after="0"/>
            </w:pPr>
            <w:r/>
            <w:r>
              <w:rPr>
                <w:rFonts w:ascii="Noto Sans CJK SC" w:hAnsi="Noto Sans CJK SC" w:eastAsia="Noto Sans CJK SC"/>
                <w:b w:val="0"/>
                <w:sz w:val="14"/>
              </w:rPr>
              <w:t>可作为 COPD/高碳酸血症风险人群参考目标，但仍需患者级确认。</w:t>
            </w:r>
          </w:p>
        </w:tc>
      </w:tr>
      <w:tr>
        <w:tc>
          <w:tcPr>
            <w:tcW w:type="dxa" w:w="3118"/>
            <w:vAlign w:val="top"/>
          </w:tcPr>
          <w:p>
            <w:pPr>
              <w:spacing w:after="0"/>
            </w:pPr>
            <w:r/>
            <w:r>
              <w:rPr>
                <w:rFonts w:ascii="Noto Sans CJK SC" w:hAnsi="Noto Sans CJK SC" w:eastAsia="Noto Sans CJK SC"/>
                <w:b w:val="0"/>
                <w:sz w:val="14"/>
              </w:rPr>
              <w:t>SpO2/SaO2 &lt;=88% 严重低氧/LTOT相关</w:t>
            </w:r>
          </w:p>
        </w:tc>
        <w:tc>
          <w:tcPr>
            <w:tcW w:type="dxa" w:w="2835"/>
            <w:vAlign w:val="top"/>
          </w:tcPr>
          <w:p>
            <w:pPr>
              <w:spacing w:after="0"/>
            </w:pPr>
            <w:r/>
            <w:r>
              <w:rPr>
                <w:rFonts w:ascii="Noto Sans CJK SC" w:hAnsi="Noto Sans CJK SC" w:eastAsia="Noto Sans CJK SC"/>
                <w:b w:val="0"/>
                <w:sz w:val="14"/>
              </w:rPr>
              <w:t>较强：中国、ATS/GOLD等一致</w:t>
            </w:r>
          </w:p>
        </w:tc>
        <w:tc>
          <w:tcPr>
            <w:tcW w:type="dxa" w:w="4819"/>
            <w:vAlign w:val="top"/>
          </w:tcPr>
          <w:p>
            <w:pPr>
              <w:spacing w:after="0"/>
            </w:pPr>
            <w:r/>
            <w:r>
              <w:rPr>
                <w:rFonts w:ascii="Noto Sans CJK SC" w:hAnsi="Noto Sans CJK SC" w:eastAsia="Noto Sans CJK SC"/>
                <w:b w:val="0"/>
                <w:sz w:val="14"/>
              </w:rPr>
              <w:t>可作为严重低氧相关依据；程序提示应引导临床复核。</w:t>
            </w:r>
          </w:p>
        </w:tc>
      </w:tr>
      <w:tr>
        <w:tc>
          <w:tcPr>
            <w:tcW w:type="dxa" w:w="3118"/>
            <w:vAlign w:val="top"/>
          </w:tcPr>
          <w:p>
            <w:pPr>
              <w:spacing w:after="0"/>
            </w:pPr>
            <w:r/>
            <w:r>
              <w:rPr>
                <w:rFonts w:ascii="Noto Sans CJK SC" w:hAnsi="Noto Sans CJK SC" w:eastAsia="Noto Sans CJK SC"/>
                <w:b w:val="0"/>
                <w:sz w:val="14"/>
              </w:rPr>
              <w:t>通用 &lt;95% 留意、&lt;90% 需关注</w:t>
            </w:r>
          </w:p>
        </w:tc>
        <w:tc>
          <w:tcPr>
            <w:tcW w:type="dxa" w:w="2835"/>
            <w:vAlign w:val="top"/>
          </w:tcPr>
          <w:p>
            <w:pPr>
              <w:spacing w:after="0"/>
            </w:pPr>
            <w:r/>
            <w:r>
              <w:rPr>
                <w:rFonts w:ascii="Noto Sans CJK SC" w:hAnsi="Noto Sans CJK SC" w:eastAsia="Noto Sans CJK SC"/>
                <w:b w:val="0"/>
                <w:sz w:val="14"/>
              </w:rPr>
              <w:t>中等：氧疗目标和低氧常识支持方向，但非居家腕式专门阈值</w:t>
            </w:r>
          </w:p>
        </w:tc>
        <w:tc>
          <w:tcPr>
            <w:tcW w:type="dxa" w:w="4819"/>
            <w:vAlign w:val="top"/>
          </w:tcPr>
          <w:p>
            <w:pPr>
              <w:spacing w:after="0"/>
            </w:pPr>
            <w:r/>
            <w:r>
              <w:rPr>
                <w:rFonts w:ascii="Noto Sans CJK SC" w:hAnsi="Noto Sans CJK SC" w:eastAsia="Noto Sans CJK SC"/>
                <w:b w:val="0"/>
                <w:sz w:val="14"/>
              </w:rPr>
              <w:t>可作为参考提醒阈值，必须保留非诊断声明。</w:t>
            </w:r>
          </w:p>
        </w:tc>
      </w:tr>
      <w:tr>
        <w:tc>
          <w:tcPr>
            <w:tcW w:type="dxa" w:w="3118"/>
            <w:vAlign w:val="top"/>
          </w:tcPr>
          <w:p>
            <w:pPr>
              <w:spacing w:after="0"/>
            </w:pPr>
            <w:r/>
            <w:r>
              <w:rPr>
                <w:rFonts w:ascii="Noto Sans CJK SC" w:hAnsi="Noto Sans CJK SC" w:eastAsia="Noto Sans CJK SC"/>
                <w:b w:val="0"/>
                <w:sz w:val="14"/>
              </w:rPr>
              <w:t>阈值减2%、COPD实际86%、30%门控</w:t>
            </w:r>
          </w:p>
        </w:tc>
        <w:tc>
          <w:tcPr>
            <w:tcW w:type="dxa" w:w="2835"/>
            <w:vAlign w:val="top"/>
          </w:tcPr>
          <w:p>
            <w:pPr>
              <w:spacing w:after="0"/>
            </w:pPr>
            <w:r/>
            <w:r>
              <w:rPr>
                <w:rFonts w:ascii="Noto Sans CJK SC" w:hAnsi="Noto Sans CJK SC" w:eastAsia="Noto Sans CJK SC"/>
                <w:b w:val="0"/>
                <w:sz w:val="14"/>
              </w:rPr>
              <w:t>弱/无直接指南依据</w:t>
            </w:r>
          </w:p>
        </w:tc>
        <w:tc>
          <w:tcPr>
            <w:tcW w:type="dxa" w:w="4819"/>
            <w:vAlign w:val="top"/>
          </w:tcPr>
          <w:p>
            <w:pPr>
              <w:spacing w:after="0"/>
            </w:pPr>
            <w:r/>
            <w:r>
              <w:rPr>
                <w:rFonts w:ascii="Noto Sans CJK SC" w:hAnsi="Noto Sans CJK SC" w:eastAsia="Noto Sans CJK SC"/>
                <w:b w:val="0"/>
                <w:sz w:val="14"/>
              </w:rPr>
              <w:t>只能作为产品策略，必须临床签字确认并记录风险接受。</w:t>
            </w:r>
          </w:p>
        </w:tc>
      </w:tr>
      <w:tr>
        <w:tc>
          <w:tcPr>
            <w:tcW w:type="dxa" w:w="3118"/>
            <w:vAlign w:val="top"/>
          </w:tcPr>
          <w:p>
            <w:pPr>
              <w:spacing w:after="0"/>
            </w:pPr>
            <w:r/>
            <w:r>
              <w:rPr>
                <w:rFonts w:ascii="Noto Sans CJK SC" w:hAnsi="Noto Sans CJK SC" w:eastAsia="Noto Sans CJK SC"/>
                <w:b w:val="0"/>
                <w:sz w:val="14"/>
              </w:rPr>
              <w:t>老年睡眠 &lt;5.5h</w:t>
            </w:r>
          </w:p>
        </w:tc>
        <w:tc>
          <w:tcPr>
            <w:tcW w:type="dxa" w:w="2835"/>
            <w:vAlign w:val="top"/>
          </w:tcPr>
          <w:p>
            <w:pPr>
              <w:spacing w:after="0"/>
            </w:pPr>
            <w:r/>
            <w:r>
              <w:rPr>
                <w:rFonts w:ascii="Noto Sans CJK SC" w:hAnsi="Noto Sans CJK SC" w:eastAsia="Noto Sans CJK SC"/>
                <w:b w:val="0"/>
                <w:sz w:val="14"/>
              </w:rPr>
              <w:t>弱：指南更支持 7-8h 建议，&lt;5.5h 可视为严重不足参考</w:t>
            </w:r>
          </w:p>
        </w:tc>
        <w:tc>
          <w:tcPr>
            <w:tcW w:type="dxa" w:w="4819"/>
            <w:vAlign w:val="top"/>
          </w:tcPr>
          <w:p>
            <w:pPr>
              <w:spacing w:after="0"/>
            </w:pPr>
            <w:r/>
            <w:r>
              <w:rPr>
                <w:rFonts w:ascii="Noto Sans CJK SC" w:hAnsi="Noto Sans CJK SC" w:eastAsia="Noto Sans CJK SC"/>
                <w:b w:val="0"/>
                <w:sz w:val="14"/>
              </w:rPr>
              <w:t>建议不要作为唯一“不足”判断线，需区分建议范围和严重提示。</w:t>
            </w:r>
          </w:p>
        </w:tc>
      </w:tr>
      <w:tr>
        <w:tc>
          <w:tcPr>
            <w:tcW w:type="dxa" w:w="3118"/>
            <w:vAlign w:val="top"/>
          </w:tcPr>
          <w:p>
            <w:pPr>
              <w:spacing w:after="0"/>
            </w:pPr>
            <w:r/>
            <w:r>
              <w:rPr>
                <w:rFonts w:ascii="Noto Sans CJK SC" w:hAnsi="Noto Sans CJK SC" w:eastAsia="Noto Sans CJK SC"/>
                <w:b w:val="0"/>
                <w:sz w:val="14"/>
              </w:rPr>
              <w:t>静息心率 50-80、β阻滞剂45</w:t>
            </w:r>
          </w:p>
        </w:tc>
        <w:tc>
          <w:tcPr>
            <w:tcW w:type="dxa" w:w="2835"/>
            <w:vAlign w:val="top"/>
          </w:tcPr>
          <w:p>
            <w:pPr>
              <w:spacing w:after="0"/>
            </w:pPr>
            <w:r/>
            <w:r>
              <w:rPr>
                <w:rFonts w:ascii="Noto Sans CJK SC" w:hAnsi="Noto Sans CJK SC" w:eastAsia="Noto Sans CJK SC"/>
                <w:b w:val="0"/>
                <w:sz w:val="14"/>
              </w:rPr>
              <w:t>中/弱：低心率定义有依据，但治疗/风险需结合症状</w:t>
            </w:r>
          </w:p>
        </w:tc>
        <w:tc>
          <w:tcPr>
            <w:tcW w:type="dxa" w:w="4819"/>
            <w:vAlign w:val="top"/>
          </w:tcPr>
          <w:p>
            <w:pPr>
              <w:spacing w:after="0"/>
            </w:pPr>
            <w:r/>
            <w:r>
              <w:rPr>
                <w:rFonts w:ascii="Noto Sans CJK SC" w:hAnsi="Noto Sans CJK SC" w:eastAsia="Noto Sans CJK SC"/>
                <w:b w:val="0"/>
                <w:sz w:val="14"/>
              </w:rPr>
              <w:t>需个体化，特别是高龄、多病、用药人群。</w:t>
            </w:r>
          </w:p>
        </w:tc>
      </w:tr>
      <w:tr>
        <w:tc>
          <w:tcPr>
            <w:tcW w:type="dxa" w:w="3118"/>
            <w:vAlign w:val="top"/>
          </w:tcPr>
          <w:p>
            <w:pPr>
              <w:spacing w:after="0"/>
            </w:pPr>
            <w:r/>
            <w:r>
              <w:rPr>
                <w:rFonts w:ascii="Noto Sans CJK SC" w:hAnsi="Noto Sans CJK SC" w:eastAsia="Noto Sans CJK SC"/>
                <w:b w:val="0"/>
                <w:sz w:val="14"/>
              </w:rPr>
              <w:t>步数 &lt;3000 / &gt;=7000</w:t>
            </w:r>
          </w:p>
        </w:tc>
        <w:tc>
          <w:tcPr>
            <w:tcW w:type="dxa" w:w="2835"/>
            <w:vAlign w:val="top"/>
          </w:tcPr>
          <w:p>
            <w:pPr>
              <w:spacing w:after="0"/>
            </w:pPr>
            <w:r/>
            <w:r>
              <w:rPr>
                <w:rFonts w:ascii="Noto Sans CJK SC" w:hAnsi="Noto Sans CJK SC" w:eastAsia="Noto Sans CJK SC"/>
                <w:b w:val="0"/>
                <w:sz w:val="14"/>
              </w:rPr>
              <w:t>弱：活动指南支持运动量，不直接支持统一步数线</w:t>
            </w:r>
          </w:p>
        </w:tc>
        <w:tc>
          <w:tcPr>
            <w:tcW w:type="dxa" w:w="4819"/>
            <w:vAlign w:val="top"/>
          </w:tcPr>
          <w:p>
            <w:pPr>
              <w:spacing w:after="0"/>
            </w:pPr>
            <w:r/>
            <w:r>
              <w:rPr>
                <w:rFonts w:ascii="Noto Sans CJK SC" w:hAnsi="Noto Sans CJK SC" w:eastAsia="Noto Sans CJK SC"/>
                <w:b w:val="0"/>
                <w:sz w:val="14"/>
              </w:rPr>
              <w:t>建议按功能状态设置个人目标；高龄/失能者不要统一7000步。</w:t>
            </w:r>
          </w:p>
        </w:tc>
      </w:tr>
    </w:tbl>
    <w:p/>
    <w:p>
      <w:pPr>
        <w:pStyle w:val="Heading1"/>
        <w:spacing w:line="276" w:lineRule="auto" w:after="80"/>
      </w:pPr>
      <w:r>
        <w:rPr>
          <w:rFonts w:ascii="Noto Sans CJK SC" w:hAnsi="Noto Sans CJK SC" w:eastAsia="Noto Sans CJK SC"/>
          <w:b w:val="0"/>
          <w:sz w:val="21"/>
        </w:rPr>
        <w:t>十、参考资料</w:t>
      </w:r>
    </w:p>
    <w:p>
      <w:pPr>
        <w:spacing w:line="276" w:lineRule="auto" w:after="80"/>
      </w:pPr>
      <w:r>
        <w:rPr>
          <w:rFonts w:ascii="Noto Sans CJK SC" w:hAnsi="Noto Sans CJK SC" w:eastAsia="Noto Sans CJK SC"/>
          <w:b w:val="0"/>
          <w:sz w:val="17"/>
        </w:rPr>
        <w:t>1. 中华医学会呼吸病学分会慢性阻塞性肺疾病学组，中国医师协会呼吸医师分会慢性阻塞性肺疾病工作委员会. 慢性阻塞性肺疾病诊治指南（2021年修订版）. 中华结核和呼吸杂志, 2021,44(3):170-205. DOI:10.3760/cma.j.cn112147-20210109-00031.</w:t>
      </w:r>
    </w:p>
    <w:p>
      <w:pPr>
        <w:spacing w:line="276" w:lineRule="auto" w:after="80"/>
      </w:pPr>
      <w:r>
        <w:rPr>
          <w:rFonts w:ascii="Noto Sans CJK SC" w:hAnsi="Noto Sans CJK SC" w:eastAsia="Noto Sans CJK SC"/>
          <w:b w:val="0"/>
          <w:sz w:val="17"/>
        </w:rPr>
        <w:t>2. British Thoracic Society. Guideline for oxygen use in adults in healthcare and emergency settings; 2017 guideline with 2019 update. https://www.brit-thoracic.org.uk/clinical-resources/guidelines/emergency-oxygen/</w:t>
      </w:r>
    </w:p>
    <w:p>
      <w:pPr>
        <w:spacing w:line="276" w:lineRule="auto" w:after="80"/>
      </w:pPr>
      <w:r>
        <w:rPr>
          <w:rFonts w:ascii="Noto Sans CJK SC" w:hAnsi="Noto Sans CJK SC" w:eastAsia="Noto Sans CJK SC"/>
          <w:b w:val="0"/>
          <w:sz w:val="17"/>
        </w:rPr>
        <w:t>3. Jacobs SS, et al. Home Oxygen Therapy for Adults with Chronic Lung Disease. An Official ATS Clinical Practice Guideline. Am J Respir Crit Care Med. 2020/2021;202(10):e121-e141. https://www.thoracic.org/statements/guideline-implementation-tools/home-oxygen-therapy-for-adults.php</w:t>
      </w:r>
    </w:p>
    <w:p>
      <w:pPr>
        <w:spacing w:line="276" w:lineRule="auto" w:after="80"/>
      </w:pPr>
      <w:r>
        <w:rPr>
          <w:rFonts w:ascii="Noto Sans CJK SC" w:hAnsi="Noto Sans CJK SC" w:eastAsia="Noto Sans CJK SC"/>
          <w:b w:val="0"/>
          <w:sz w:val="17"/>
        </w:rPr>
        <w:t>4. Global Initiative for Chronic Obstructive Lung Disease (GOLD). Global Strategy for Prevention, Diagnosis and Management of COPD: 2024/2025 Reports. https://goldcopd.org/</w:t>
      </w:r>
    </w:p>
    <w:p>
      <w:pPr>
        <w:spacing w:line="276" w:lineRule="auto" w:after="80"/>
      </w:pPr>
      <w:r>
        <w:rPr>
          <w:rFonts w:ascii="Noto Sans CJK SC" w:hAnsi="Noto Sans CJK SC" w:eastAsia="Noto Sans CJK SC"/>
          <w:b w:val="0"/>
          <w:sz w:val="17"/>
        </w:rPr>
        <w:t>5. U.S. Food and Drug Administration. Pulse Oximeters for Medical Purposes: Non-Clinical and Clinical Performance Testing, Labeling, and Premarket Submission Recommendations. Draft Guidance. 2025. https://www.fda.gov/media/184896/download</w:t>
      </w:r>
    </w:p>
    <w:p>
      <w:pPr>
        <w:spacing w:line="276" w:lineRule="auto" w:after="80"/>
      </w:pPr>
      <w:r>
        <w:rPr>
          <w:rFonts w:ascii="Noto Sans CJK SC" w:hAnsi="Noto Sans CJK SC" w:eastAsia="Noto Sans CJK SC"/>
          <w:b w:val="0"/>
          <w:sz w:val="17"/>
        </w:rPr>
        <w:t>6. FDA Recognized Consensus Standard: ISO 80601-2-61:2017 Medical electrical equipment - Particular requirements for basic safety and essential performance of pulse oximeter equipment.</w:t>
      </w:r>
    </w:p>
    <w:p>
      <w:pPr>
        <w:spacing w:line="276" w:lineRule="auto" w:after="80"/>
      </w:pPr>
      <w:r>
        <w:rPr>
          <w:rFonts w:ascii="Noto Sans CJK SC" w:hAnsi="Noto Sans CJK SC" w:eastAsia="Noto Sans CJK SC"/>
          <w:b w:val="0"/>
          <w:sz w:val="17"/>
        </w:rPr>
        <w:t>7. Watson NF, et al. Recommended Amount of Sleep for a Healthy Adult: A Joint Consensus Statement of the AASM and Sleep Research Society. J Clin Sleep Med. 2015.</w:t>
      </w:r>
    </w:p>
    <w:p>
      <w:pPr>
        <w:spacing w:line="276" w:lineRule="auto" w:after="80"/>
      </w:pPr>
      <w:r>
        <w:rPr>
          <w:rFonts w:ascii="Noto Sans CJK SC" w:hAnsi="Noto Sans CJK SC" w:eastAsia="Noto Sans CJK SC"/>
          <w:b w:val="0"/>
          <w:sz w:val="17"/>
        </w:rPr>
        <w:t>8. Hirshkowitz M, et al. National Sleep Foundation’s sleep time duration recommendations: methodology and results summary. Sleep Health. 2015.</w:t>
      </w:r>
    </w:p>
    <w:p>
      <w:pPr>
        <w:spacing w:line="276" w:lineRule="auto" w:after="80"/>
      </w:pPr>
      <w:r>
        <w:rPr>
          <w:rFonts w:ascii="Noto Sans CJK SC" w:hAnsi="Noto Sans CJK SC" w:eastAsia="Noto Sans CJK SC"/>
          <w:b w:val="0"/>
          <w:sz w:val="17"/>
        </w:rPr>
        <w:t>9. Smith MT, et al. Use of Actigraphy for the Evaluation of Sleep Disorders and Circadian Rhythm Sleep-Wake Disorders: An AASM Clinical Practice Guideline. J Clin Sleep Med. 2018.</w:t>
      </w:r>
    </w:p>
    <w:p>
      <w:pPr>
        <w:spacing w:line="276" w:lineRule="auto" w:after="80"/>
      </w:pPr>
      <w:r>
        <w:rPr>
          <w:rFonts w:ascii="Noto Sans CJK SC" w:hAnsi="Noto Sans CJK SC" w:eastAsia="Noto Sans CJK SC"/>
          <w:b w:val="0"/>
          <w:sz w:val="17"/>
        </w:rPr>
        <w:t>10. Kusumoto FM, et al. 2018 ACC/AHA/HRS Guideline on Bradycardia and Cardiac Conduction Delay. Circulation/JACC/HeartRhythm. 2018/2019.</w:t>
      </w:r>
    </w:p>
    <w:p>
      <w:pPr>
        <w:spacing w:line="276" w:lineRule="auto" w:after="80"/>
      </w:pPr>
      <w:r>
        <w:rPr>
          <w:rFonts w:ascii="Noto Sans CJK SC" w:hAnsi="Noto Sans CJK SC" w:eastAsia="Noto Sans CJK SC"/>
          <w:b w:val="0"/>
          <w:sz w:val="17"/>
        </w:rPr>
        <w:t>11. Glikson M, et al. 2021 ESC Guidelines on cardiac pacing and cardiac resynchronization therapy. European Heart Journal. 2021.</w:t>
      </w:r>
    </w:p>
    <w:p>
      <w:pPr>
        <w:spacing w:line="276" w:lineRule="auto" w:after="80"/>
      </w:pPr>
      <w:r>
        <w:rPr>
          <w:rFonts w:ascii="Noto Sans CJK SC" w:hAnsi="Noto Sans CJK SC" w:eastAsia="Noto Sans CJK SC"/>
          <w:b w:val="0"/>
          <w:sz w:val="17"/>
        </w:rPr>
        <w:t>12. World Health Organization. WHO guidelines on physical activity and sedentary behaviour. 2020.</w:t>
      </w:r>
    </w:p>
    <w:p>
      <w:pPr>
        <w:spacing w:line="276" w:lineRule="auto" w:after="80"/>
      </w:pPr>
      <w:r>
        <w:rPr>
          <w:rFonts w:ascii="Noto Sans CJK SC" w:hAnsi="Noto Sans CJK SC" w:eastAsia="Noto Sans CJK SC"/>
          <w:b w:val="0"/>
          <w:sz w:val="17"/>
        </w:rPr>
        <w:t>13. Physical Activity Guidelines for Chinese (2021). Biomedical and Environmental Sciences. 2022.</w:t>
      </w:r>
    </w:p>
    <w:p>
      <w:pPr>
        <w:spacing w:line="276" w:lineRule="auto" w:after="80"/>
      </w:pPr>
      <w:r>
        <w:rPr>
          <w:rFonts w:ascii="Noto Sans CJK SC" w:hAnsi="Noto Sans CJK SC" w:eastAsia="Noto Sans CJK SC"/>
          <w:b w:val="0"/>
          <w:sz w:val="17"/>
        </w:rPr>
        <w:t>14. U.S. Department of Health and Human Services. Physical Activity Guidelines for Americans, 2nd edition. 2018.</w:t>
      </w:r>
    </w:p>
    <w:p>
      <w:pPr>
        <w:spacing w:line="276" w:lineRule="auto" w:after="80"/>
      </w:pPr>
      <w:r>
        <w:rPr>
          <w:rFonts w:ascii="Noto Sans CJK SC" w:hAnsi="Noto Sans CJK SC" w:eastAsia="Noto Sans CJK SC"/>
          <w:b w:val="0"/>
          <w:sz w:val="17"/>
        </w:rPr>
        <w:t>15. Ministry of Health, Labour and Welfare, Japan. Physical Activity Guide for Health Promotion 2023. 2024 English version.</w:t>
      </w:r>
    </w:p>
    <w:p>
      <w:pPr>
        <w:pStyle w:val="Heading1"/>
        <w:spacing w:line="276" w:lineRule="auto" w:after="80"/>
      </w:pPr>
      <w:r>
        <w:rPr>
          <w:rFonts w:ascii="Noto Sans CJK SC" w:hAnsi="Noto Sans CJK SC" w:eastAsia="Noto Sans CJK SC"/>
          <w:b w:val="0"/>
          <w:sz w:val="21"/>
        </w:rPr>
        <w:t>附录：上线前必须完成的确认动作</w:t>
      </w:r>
    </w:p>
    <w:p>
      <w:pPr>
        <w:pStyle w:val="ListBullet"/>
        <w:spacing w:after="40"/>
      </w:pPr>
      <w:r>
        <w:rPr>
          <w:rFonts w:ascii="Noto Sans CJK SC" w:hAnsi="Noto Sans CJK SC" w:eastAsia="Noto Sans CJK SC"/>
          <w:sz w:val="20"/>
        </w:rPr>
        <w:t>由临床确认人逐项确认 C1-C15 的最终状态：确认 / 修改为 / 待查。</w:t>
      </w:r>
    </w:p>
    <w:p>
      <w:pPr>
        <w:pStyle w:val="ListBullet"/>
        <w:spacing w:after="40"/>
      </w:pPr>
      <w:r>
        <w:rPr>
          <w:rFonts w:ascii="Noto Sans CJK SC" w:hAnsi="Noto Sans CJK SC" w:eastAsia="Noto Sans CJK SC"/>
          <w:sz w:val="20"/>
        </w:rPr>
        <w:t>将临床确认后的最终阈值回写到单一数据源 get_thresholds()，并同步前端 getThresholds()。</w:t>
      </w:r>
    </w:p>
    <w:p>
      <w:pPr>
        <w:pStyle w:val="ListBullet"/>
        <w:spacing w:after="40"/>
      </w:pPr>
      <w:r>
        <w:rPr>
          <w:rFonts w:ascii="Noto Sans CJK SC" w:hAnsi="Noto Sans CJK SC" w:eastAsia="Noto Sans CJK SC"/>
          <w:sz w:val="20"/>
        </w:rPr>
        <w:t>删除代码中的“待临床确认”注释前，应保留签字记录、版本号、依据文件和变更记录。</w:t>
      </w:r>
    </w:p>
    <w:p>
      <w:pPr>
        <w:pStyle w:val="ListBullet"/>
        <w:spacing w:after="40"/>
      </w:pPr>
      <w:r>
        <w:rPr>
          <w:rFonts w:ascii="Noto Sans CJK SC" w:hAnsi="Noto Sans CJK SC" w:eastAsia="Noto Sans CJK SC"/>
          <w:sz w:val="20"/>
        </w:rPr>
        <w:t>对高风险逻辑 C5-C7 建立专项测试：持续 86-89% COPD、短期低于88%、多天低于92%、读数缺失/异常波动、设备误差模拟。</w:t>
      </w:r>
    </w:p>
    <w:sectPr w:rsidR="00FC693F" w:rsidRPr="0006063C" w:rsidSect="00034616">
      <w:footerReference w:type="default" r:id="rId9"/>
      <w:pgSz w:w="12240" w:h="15840"/>
      <w:pgMar w:top="964"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08080"/>
        <w:sz w:val="16"/>
      </w:rPr>
      <w:t>程序临床依据说明 v0.1（待临床确认）</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