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A3C6E"/>
          <w:sz w:val="56"/>
        </w:rPr>
        <w:t>AFAC2026金融智能创新大赛</w:t>
      </w:r>
    </w:p>
    <w:p>
      <w:pPr>
        <w:jc w:val="center"/>
      </w:pPr>
      <w:r>
        <w:rPr>
          <w:rFonts w:ascii="微软雅黑" w:hAnsi="微软雅黑" w:eastAsia="微软雅黑"/>
          <w:color w:val="2B579A"/>
          <w:sz w:val="36"/>
        </w:rPr>
        <w:t>初创组 · 项目申报书</w:t>
      </w:r>
    </w:p>
    <w:p>
      <w:pPr>
        <w:jc w:val="center"/>
      </w:pPr>
      <w:r>
        <w:rPr>
          <w:color w:val="006BD6"/>
          <w:sz w:val="28"/>
        </w:rPr>
        <w:t>━━━━━━━━━━━━━━━━━━━━━━━━━━━━━━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8"/>
        </w:rPr>
        <w:t>项目名称：FinAgent Pro 金融自主智能体平台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8"/>
        </w:rPr>
        <w:t>2026年6月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一、项目基本信息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5386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项目名称</w:t>
            </w:r>
          </w:p>
        </w:tc>
        <w:tc>
          <w:tcPr>
            <w:tcW w:type="dxa" w:w="5386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FinAgent Pro 金融自主智能体平台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赛道方向</w:t>
            </w:r>
          </w:p>
        </w:tc>
        <w:tc>
          <w:tcPr>
            <w:tcW w:type="dxa" w:w="5386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金融科技创新应用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参赛组别</w:t>
            </w:r>
          </w:p>
        </w:tc>
        <w:tc>
          <w:tcPr>
            <w:tcW w:type="dxa" w:w="5386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初创组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团队名称</w:t>
            </w:r>
          </w:p>
        </w:tc>
        <w:tc>
          <w:tcPr>
            <w:tcW w:type="dxa" w:w="5386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FinAgent Team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项目负责人</w:t>
            </w:r>
          </w:p>
        </w:tc>
        <w:tc>
          <w:tcPr>
            <w:tcW w:type="dxa" w:w="5386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张明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联系电话</w:t>
            </w:r>
          </w:p>
        </w:tc>
        <w:tc>
          <w:tcPr>
            <w:tcW w:type="dxa" w:w="5386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138-XXXX-XXXX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电子邮箱</w:t>
            </w:r>
          </w:p>
        </w:tc>
        <w:tc>
          <w:tcPr>
            <w:tcW w:type="dxa" w:w="5386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contact@finagent-pro.com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所在单位</w:t>
            </w:r>
          </w:p>
        </w:tc>
        <w:tc>
          <w:tcPr>
            <w:tcW w:type="dxa" w:w="5386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FinAgent Pro团队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项目阶段</w:t>
            </w:r>
          </w:p>
        </w:tc>
        <w:tc>
          <w:tcPr>
            <w:tcW w:type="dxa" w:w="5386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MVP开发阶段</w:t>
            </w:r>
          </w:p>
        </w:tc>
      </w:tr>
      <w:tr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知识产权</w:t>
            </w:r>
          </w:p>
        </w:tc>
        <w:tc>
          <w:tcPr>
            <w:tcW w:type="dxa" w:w="5386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软件著作权申请中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二、项目概述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2.1 项目简介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FinAgent Pro是一款面向金融行业的自主智能体（Agentic AI）平台，通过六大专业数字员工——市场分析师、新闻解读员、风控专员、策略顾问、交易执行员和报告撰写员——为金融机构提供7×24小时全链路智能投研服务。平台基于ReAct推理引擎实现智能体自主决策，通过多智能体协同机制实现深度分析，以主动智能系统实现实时预警，并内置合规引擎确保全流程合规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2.2 核心创新——六大创新点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56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创新点</w:t>
            </w:r>
          </w:p>
        </w:tc>
        <w:tc>
          <w:tcPr>
            <w:tcW w:type="dxa" w:w="510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创新描述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ReAct自主推理</w:t>
            </w:r>
          </w:p>
        </w:tc>
        <w:tc>
          <w:tcPr>
            <w:tcW w:type="dxa" w:w="51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自研推理引擎，实现「思考-行动-观察」闭环，智能体可自主规划任务、调用工具、评估结果</w:t>
            </w:r>
          </w:p>
        </w:tc>
      </w:tr>
      <w:tr>
        <w:tc>
          <w:tcPr>
            <w:tcW w:type="dxa" w:w="56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2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多智能体协同</w:t>
            </w:r>
          </w:p>
        </w:tc>
        <w:tc>
          <w:tcPr>
            <w:tcW w:type="dxa" w:w="51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6大专业智能体分工协作，Orchestrator统一调度，加权协商算法消解冲突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3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主动智能系统</w:t>
            </w:r>
          </w:p>
        </w:tc>
        <w:tc>
          <w:tcPr>
            <w:tcW w:type="dxa" w:w="51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定时巡检+事件驱动+阈值预警+计划执行，7×24小时主动服务</w:t>
            </w:r>
          </w:p>
        </w:tc>
      </w:tr>
      <w:tr>
        <w:tc>
          <w:tcPr>
            <w:tcW w:type="dxa" w:w="56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4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合规引擎内嵌</w:t>
            </w:r>
          </w:p>
        </w:tc>
        <w:tc>
          <w:tcPr>
            <w:tcW w:type="dxa" w:w="51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200+监管规则内置，所有输出自动合规审查，审计全程留痕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5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三层记忆架构</w:t>
            </w:r>
          </w:p>
        </w:tc>
        <w:tc>
          <w:tcPr>
            <w:tcW w:type="dxa" w:w="51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短期+工作+长期记忆，智能体持续学习优化，越用越智能</w:t>
            </w:r>
          </w:p>
        </w:tc>
      </w:tr>
      <w:tr>
        <w:tc>
          <w:tcPr>
            <w:tcW w:type="dxa" w:w="56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6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思维链可视化</w:t>
            </w:r>
          </w:p>
        </w:tc>
        <w:tc>
          <w:tcPr>
            <w:tcW w:type="dxa" w:w="51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推理过程透明可追溯，决策可解释，增强用户信任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2.3 应用场景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投研分析：分析师使用智能体快速完成多维度投研分析，效率提升10倍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风控预警：风控团队7×24小时实时监控，风险事件秒级响应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合规审查：合规团队借助合规引擎自动审查，效率提升80%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投资决策：投资经理获取多智能体协同分析结论，辅助科学决策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个人投研：个人投资者享受专业级投研服务，降低信息不对称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三、技术与产品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3.1 技术路线——Agentic AI + 多智能体协同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FinAgent Pro采用Agentic AI技术路线，以ReAct推理引擎为核心，结合多智能体协同、主动智能和合规引擎，构建金融行业专属的自主智能体平台。技术路线的核心优势在于：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自主性：智能体可自主规划、决策和行动，而非被动响应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协同性：多智能体分工协作，1+1&gt;2的群体智能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主动性：无需用户触发，主动发现和推送关键信息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合规性：合规引擎全程嵌入，确保输出安全合规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3.2 产品功能——六大数字员工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数字员工</w:t>
            </w:r>
          </w:p>
        </w:tc>
        <w:tc>
          <w:tcPr>
            <w:tcW w:type="dxa" w:w="255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  <w:tc>
          <w:tcPr>
            <w:tcW w:type="dxa" w:w="340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技术实现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市场分析师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行情监测、技术分析、趋势识别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 + 技术指标工具 + 定时巡检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新闻解读员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资讯解读、事件提取、情绪分析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 + NLP工具 + 事件驱动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风控专员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风险评估、VaR计算、阈值预警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 + 风控模型 + 实时监控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策略顾问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策略生成、历史回测、收益归因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 + 回测引擎 + 因子分析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交易执行员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信号生成、执行优化、合规检查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 + 信号算法 + 合规审查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报告撰写员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报告生成、数据可视化、合规审查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 + 模板引擎 + 图表工具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3.3 技术指标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268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目标值</w:t>
            </w:r>
          </w:p>
        </w:tc>
        <w:tc>
          <w:tcPr>
            <w:tcW w:type="dxa" w:w="340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单次分析响应时间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&lt; 5秒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从用户提问到返回分析结果</w:t>
            </w:r>
          </w:p>
        </w:tc>
      </w:tr>
      <w:tr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并发用户数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100+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同时在线使用用户数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系统可用性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99.9%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年度停机时间&lt;8.76小时</w:t>
            </w:r>
          </w:p>
        </w:tc>
      </w:tr>
      <w:tr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合规审查覆盖率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所有输出均经过合规审查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预警响应时间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&lt; 30秒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从风险触发到预警推送</w:t>
            </w:r>
          </w:p>
        </w:tc>
      </w:tr>
      <w:tr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报告生成时间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&lt; 3分钟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完整投研报告自动生成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四、市场与商业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4.1 市场规模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中国金融科技AI应用市场规模达500亿元（TAM），其中AI+投研/风控/合规细分市场50亿元（SAM），Agentic AI金融平台市场5亿元（SOM）。市场年复合增长率超过35%，先发优势明显。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4.2 商业模式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采用SaaS三层定价模式：基础版（299元/月，个人投资者）、专业版（999元/月，小型工作室）、企业版（5万起/年，金融机构）。预计第三年ARR达1.2亿元，毛利率82%。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4.3 竞争分析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传统金融终端</w:t>
            </w:r>
          </w:p>
        </w:tc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通用AI工具</w:t>
            </w:r>
          </w:p>
        </w:tc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FinAgent Pro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专业深度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智能程度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自主性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合规能力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无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价格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</w:t>
            </w:r>
          </w:p>
        </w:tc>
      </w:tr>
    </w:tbl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FinAgent Pro填补了传统金融终端与通用AI工具之间的市场空白，具备差异化竞争优势。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五、团队情况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5.1 核心成员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13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职位</w:t>
            </w:r>
          </w:p>
        </w:tc>
        <w:tc>
          <w:tcPr>
            <w:tcW w:type="dxa" w:w="255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背景</w:t>
            </w:r>
          </w:p>
        </w:tc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核心贡献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张明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CEO/创始人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10年金融科技经验，前头部券商技术负责人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产品战略、商业模式、行业资源</w:t>
            </w:r>
          </w:p>
        </w:tc>
      </w:tr>
      <w:tr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李华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CTO/联合创始人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8年AI研发经验，前大厂AI Lab高级工程师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技术架构、ReAct引擎、多智能体系统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王芳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首席风控官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12年风控经验，CFA/FRM持证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风控模型、合规引擎、监管对接</w:t>
            </w:r>
          </w:p>
        </w:tc>
      </w:tr>
      <w:tr>
        <w:tc>
          <w:tcPr>
            <w:tcW w:type="dxa" w:w="113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赵强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产品总监</w:t>
            </w:r>
          </w:p>
        </w:tc>
        <w:tc>
          <w:tcPr>
            <w:tcW w:type="dxa" w:w="255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6年金融产品经验，前知名Fintech产品经理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产品规划、用户体验、需求分析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陈静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算法负责人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5年NLP经验，博士毕业于清华大学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NLP算法、情绪分析、知识图谱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5.2 团队优势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金融+AI跨界组合：核心成员兼具金融行业深度和AI技术能力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完整能力闭环：产品、技术、风控、算法全覆盖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行业资源丰富：团队成员在金融行业拥有广泛人脉和客户资源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执行力强：团队已有MVP原型，具备快速迭代能力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六、项目进展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6.1 已完成工作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56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984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工作内容</w:t>
            </w:r>
          </w:p>
        </w:tc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完成状态</w:t>
            </w:r>
          </w:p>
        </w:tc>
        <w:tc>
          <w:tcPr>
            <w:tcW w:type="dxa" w:w="340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1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技术架构设计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已完成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六层架构设计，技术选型确定</w:t>
            </w:r>
          </w:p>
        </w:tc>
      </w:tr>
      <w:tr>
        <w:tc>
          <w:tcPr>
            <w:tcW w:type="dxa" w:w="56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2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ReAct推理引擎</w:t>
            </w:r>
          </w:p>
        </w:tc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已完成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核心推理循环实现，支持多步推理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3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六大智能体原型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已完成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基础功能实现，可独立运行</w:t>
            </w:r>
          </w:p>
        </w:tc>
      </w:tr>
      <w:tr>
        <w:tc>
          <w:tcPr>
            <w:tcW w:type="dxa" w:w="56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4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Orchestrator调度</w:t>
            </w:r>
          </w:p>
        </w:tc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已完成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三阶段流水线，加权协商算法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5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前端界面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🔄 进行中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Dashboard、分析页、对话页已完成</w:t>
            </w:r>
          </w:p>
        </w:tc>
      </w:tr>
      <w:tr>
        <w:tc>
          <w:tcPr>
            <w:tcW w:type="dxa" w:w="56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6</w:t>
            </w:r>
          </w:p>
        </w:tc>
        <w:tc>
          <w:tcPr>
            <w:tcW w:type="dxa" w:w="1984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合规引擎</w:t>
            </w:r>
          </w:p>
        </w:tc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🔄 进行中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核心规则已实现，持续扩充中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6.2 后续计划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417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25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计划内容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MVP完善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2026年7-8月</w:t>
            </w:r>
          </w:p>
        </w:tc>
        <w:tc>
          <w:tcPr>
            <w:tcW w:type="dxa" w:w="425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功能完善、性能优化、内测准备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内测上线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2026年9月</w:t>
            </w:r>
          </w:p>
        </w:tc>
        <w:tc>
          <w:tcPr>
            <w:tcW w:type="dxa" w:w="425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邀请50名种子用户内测，收集反馈</w:t>
            </w:r>
          </w:p>
        </w:tc>
      </w:tr>
      <w:tr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公测发布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2026年11月</w:t>
            </w:r>
          </w:p>
        </w:tc>
        <w:tc>
          <w:tcPr>
            <w:tcW w:type="dxa" w:w="425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开放注册，基础版和专业版上线</w:t>
            </w:r>
          </w:p>
        </w:tc>
      </w:tr>
      <w:tr>
        <w:tc>
          <w:tcPr>
            <w:tcW w:type="dxa" w:w="1417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企业版发布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2027年3月</w:t>
            </w:r>
          </w:p>
        </w:tc>
        <w:tc>
          <w:tcPr>
            <w:tcW w:type="dxa" w:w="425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企业版功能开发完成，启动销售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6.3 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里程碑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预计时间</w:t>
            </w:r>
          </w:p>
        </w:tc>
        <w:tc>
          <w:tcPr>
            <w:tcW w:type="dxa" w:w="3969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关键指标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MVP上线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2026年9月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核心功能可用，100+注册用户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首批付费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2026年11月</w:t>
            </w:r>
          </w:p>
        </w:tc>
        <w:tc>
          <w:tcPr>
            <w:tcW w:type="dxa" w:w="3969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10+付费用户，ARR突破50万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企业版发布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2027年3月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5+企业客户，ARR突破500万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规模化增长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2027年Q4</w:t>
            </w:r>
          </w:p>
        </w:tc>
        <w:tc>
          <w:tcPr>
            <w:tcW w:type="dxa" w:w="3969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200+付费用户，ARR突破1000万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七、融资需求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7.1 融资金额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天使轮融资500万元人民币，出让股权10%-15%，投前估值3,300万-5,000万元。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7.2 资金用途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268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268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金额（万元）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产品研发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250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50%</w:t>
            </w:r>
          </w:p>
        </w:tc>
      </w:tr>
      <w:tr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团队建设</w:t>
            </w:r>
          </w:p>
        </w:tc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20%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市场推广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80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16%</w:t>
            </w:r>
          </w:p>
        </w:tc>
      </w:tr>
      <w:tr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数据采购</w:t>
            </w:r>
          </w:p>
        </w:tc>
        <w:tc>
          <w:tcPr>
            <w:tcW w:type="dxa" w:w="2268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8%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运营储备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6%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7.3 预期回报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预计3年内ARR达1.2亿元，净利润4,000万元。投资回报预期：3-5倍回报，退出方式包括IPO上市、战略并购或股权回购。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八、社会价值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8.1 响应国家战略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FinAgent Pro积极响应中央金融工作会议「五篇大文章」战略：科技金融——以AI技术推动金融科技自主创新；绿色金融——ESG智能评估助力绿色投资；普惠金融——降低投研门槛服务中小投资者；养老金融——稳健策略服务养老资金；数字金融——推动金融行业数字化转型。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8.2 促进就业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直接就业：团队规模从5人扩展至30人，创造高质量AI+金融就业岗位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间接就业：通过生态建设，带动数据标注、模型训练、客户服务等上下游就业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技能升级：帮助金融从业者掌握AI工具，提升职业技能和竞争力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8.3 推动行业进步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提升效率：投研效率提升10倍，推动行业生产力变革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降低风险：实时风控预警，减少金融风险事件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促进合规：合规引擎内嵌，提升行业合规水平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技术示范：Agentic AI在金融领域的标杆应用，引领行业技术方向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九、知识产权</w:t>
      </w:r>
    </w:p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9.1 已申请/计划申请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3402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1701"/>
            <w:shd w:fill="1A3C6E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软件著作权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FinAgent Pro金融自主智能体平台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申请中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发明专利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基于ReAct的多智能体金融分析方法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计划申请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发明专利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金融合规引擎自动审查方法</w:t>
            </w:r>
          </w:p>
        </w:tc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计划申请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发明专利</w:t>
            </w:r>
          </w:p>
        </w:tc>
        <w:tc>
          <w:tcPr>
            <w:tcW w:type="dxa" w:w="3402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多智能体加权协商决策方法</w:t>
            </w:r>
          </w:p>
        </w:tc>
        <w:tc>
          <w:tcPr>
            <w:tcW w:type="dxa" w:w="1701"/>
            <w:shd w:fill="E8F0FE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计划申请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2B579A"/>
          <w:sz w:val="28"/>
        </w:rPr>
        <w:t>9.2 开源策略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核心引擎闭源：ReAct推理引擎、合规引擎等核心组件闭源，保持技术壁垒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工具层开源：通用工具组件（技术分析、NLP等）开源，建设开发者生态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SDK开放：提供Agent SDK，支持第三方开发自定义智能体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sz w:val="21"/>
        </w:rPr>
        <w:t>数据接口开放：提供标准化数据API，方便第三方集成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3C6E"/>
          <w:sz w:val="36"/>
        </w:rPr>
        <w:t>十、承诺与声明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  <w:t>本团队郑重承诺：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b/>
          <w:sz w:val="21"/>
        </w:rPr>
        <w:t>一、</w:t>
      </w:r>
      <w:r>
        <w:rPr>
          <w:rFonts w:ascii="微软雅黑" w:hAnsi="微软雅黑" w:eastAsia="微软雅黑"/>
          <w:sz w:val="21"/>
        </w:rPr>
        <w:t>本项目为原创项目，不存在抄袭、剽窃等知识产权纠纷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b/>
          <w:sz w:val="21"/>
        </w:rPr>
        <w:t>二、</w:t>
      </w:r>
      <w:r>
        <w:rPr>
          <w:rFonts w:ascii="微软雅黑" w:hAnsi="微软雅黑" w:eastAsia="微软雅黑"/>
          <w:sz w:val="21"/>
        </w:rPr>
        <w:t>本项目所提交的所有材料真实、准确、完整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b/>
          <w:sz w:val="21"/>
        </w:rPr>
        <w:t>三、</w:t>
      </w:r>
      <w:r>
        <w:rPr>
          <w:rFonts w:ascii="微软雅黑" w:hAnsi="微软雅黑" w:eastAsia="微软雅黑"/>
          <w:sz w:val="21"/>
        </w:rPr>
        <w:t>本团队将严格遵守大赛规则，公平竞争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b/>
          <w:sz w:val="21"/>
        </w:rPr>
        <w:t>四、</w:t>
      </w:r>
      <w:r>
        <w:rPr>
          <w:rFonts w:ascii="微软雅黑" w:hAnsi="微软雅黑" w:eastAsia="微软雅黑"/>
          <w:sz w:val="21"/>
        </w:rPr>
        <w:t>本项目如获资助，将严格按照计划使用资金，接受监督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b/>
          <w:sz w:val="21"/>
        </w:rPr>
        <w:t>五、</w:t>
      </w:r>
      <w:r>
        <w:rPr>
          <w:rFonts w:ascii="微软雅黑" w:hAnsi="微软雅黑" w:eastAsia="微软雅黑"/>
          <w:sz w:val="21"/>
        </w:rPr>
        <w:t>本团队将积极推动项目落地，实现社会价值和商业价值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b/>
          <w:sz w:val="21"/>
        </w:rPr>
        <w:t>六、</w:t>
      </w:r>
      <w:r>
        <w:rPr>
          <w:rFonts w:ascii="微软雅黑" w:hAnsi="微软雅黑" w:eastAsia="微软雅黑"/>
          <w:sz w:val="21"/>
        </w:rPr>
        <w:t>本项目所有AI生成内容均经过人工审核，确保合规性</w:t>
      </w:r>
    </w:p>
    <w:p>
      <w:pPr>
        <w:pStyle w:val="ListBullet"/>
        <w:spacing w:before="40" w:after="40"/>
        <w:ind w:left="850"/>
      </w:pPr>
      <w:r>
        <w:rPr>
          <w:rFonts w:ascii="微软雅黑" w:hAnsi="微软雅黑" w:eastAsia="微软雅黑"/>
          <w:b/>
          <w:sz w:val="21"/>
        </w:rPr>
        <w:t>七、</w:t>
      </w:r>
      <w:r>
        <w:rPr>
          <w:rFonts w:ascii="微软雅黑" w:hAnsi="微软雅黑" w:eastAsia="微软雅黑"/>
          <w:sz w:val="21"/>
        </w:rPr>
        <w:t>本项目不提供直接投资建议，所有分析结果仅供参考</w:t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line="400" w:lineRule="exact" w:before="60" w:after="60"/>
        <w:ind w:firstLine="420"/>
      </w:pPr>
      <w:r>
        <w:rPr>
          <w:rFonts w:ascii="微软雅黑" w:hAnsi="微软雅黑" w:eastAsia="微软雅黑"/>
          <w:b w:val="0"/>
          <w:sz w:val="21"/>
        </w:rPr>
      </w:r>
    </w:p>
    <w:p>
      <w:pPr>
        <w:jc w:val="right"/>
      </w:pPr>
      <w:r>
        <w:rPr>
          <w:rFonts w:ascii="微软雅黑" w:hAnsi="微软雅黑" w:eastAsia="微软雅黑"/>
          <w:sz w:val="24"/>
        </w:rPr>
        <w:t>项目团队：FinAgent Team</w:t>
      </w:r>
    </w:p>
    <w:p>
      <w:pPr>
        <w:jc w:val="right"/>
      </w:pPr>
      <w:r>
        <w:rPr>
          <w:rFonts w:ascii="微软雅黑" w:hAnsi="微软雅黑" w:eastAsia="微软雅黑"/>
          <w:sz w:val="24"/>
        </w:rPr>
        <w:t>日期：2026年6月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fldChar w:fldCharType="begin"/>
    </w:r>
    <w:r>
      <w:rPr>
        <w:color w:val="999999"/>
        <w:sz w:val="18"/>
      </w:rPr>
      <w:instrText xml:space="preserve"> PAGE </w:instrText>
    </w:r>
    <w:r>
      <w:rPr>
        <w:color w:val="99999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color w:val="999999"/>
        <w:sz w:val="16"/>
      </w:rPr>
      <w:t>AFAC2026 项目申报书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