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240" w:line="240" w:lineRule="auto"/>
        <w:jc w:val="center"/>
      </w:pPr>
      <w:r>
        <w:rPr>
          <w:rFonts w:ascii="微软雅黑" w:hAnsi="微软雅黑" w:eastAsia="微软雅黑"/>
          <w:b/>
          <w:color w:val="1A3C6E"/>
          <w:sz w:val="72"/>
        </w:rPr>
        <w:t>FinAgent Pro</w:t>
      </w:r>
    </w:p>
    <w:p>
      <w:pPr>
        <w:spacing w:before="0" w:after="120" w:line="240" w:lineRule="auto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市场竞争分析</w:t>
      </w:r>
    </w:p>
    <w:p>
      <w:pPr>
        <w:spacing w:before="240" w:after="240" w:line="240" w:lineRule="auto"/>
        <w:jc w:val="center"/>
      </w:pPr>
      <w:r>
        <w:rPr>
          <w:rFonts w:ascii="微软雅黑" w:hAnsi="微软雅黑" w:eastAsia="微软雅黑"/>
          <w:b w:val="0"/>
          <w:color w:val="2B5C9E"/>
          <w:sz w:val="24"/>
        </w:rPr>
        <w:t>━━━━━━━━━━━━━━━━━━━━━━━━━━━━━━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AFAC2026金融智能创新大赛 初创组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智融先锋团队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2026年6月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一、市场格局概览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当前金融智能体市场呈现三足鼎立格局：传统金融终端占据数据与用户优势，通用AI平台拥有模型能力但缺乏垂直深度，海外金融AI技术成熟但无法适配中国市场。FinAgent Pro以「金融垂直+自主智能体+合规内嵌」的独特定位，切入三者之间的空白地带。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二、竞争者详细分析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竞争者1：传统金融终端（同花顺、东方财富、Wind）</w:t>
      </w:r>
    </w:p>
    <w:p>
      <w:pPr>
        <w:spacing w:before="40" w:after="40" w:line="360" w:lineRule="auto"/>
        <w:ind w:left="283"/>
      </w:pPr>
      <w:r>
        <w:rPr>
          <w:rFonts w:ascii="微软雅黑" w:hAnsi="微软雅黑" w:eastAsia="微软雅黑"/>
          <w:b/>
          <w:color w:val="27AE60"/>
          <w:sz w:val="22"/>
        </w:rPr>
        <w:t>优势：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数据覆盖广：20年+金融数据积累，覆盖A股全市场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用户基数大：同花顺注册用户超6亿，日活超2000万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品牌壁垒深：金融机构采购白名单，替换成本极高</w:t>
      </w:r>
    </w:p>
    <w:p>
      <w:pPr>
        <w:spacing w:before="40" w:after="4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劣势：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被动工具属性：需人工驱动分析流程，系统不会主动发现问题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AI能力薄弱：仅做数据展示和简单指标计算，无智能推理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合规功能为附加模块：非原生设计，审计追溯能力有限</w:t>
      </w:r>
    </w:p>
    <w:p>
      <w:pPr>
        <w:spacing w:before="80" w:after="120" w:line="360" w:lineRule="auto"/>
        <w:ind w:left="283"/>
      </w:pPr>
      <w:r>
        <w:rPr>
          <w:rFonts w:ascii="微软雅黑" w:hAnsi="微软雅黑" w:eastAsia="微软雅黑"/>
          <w:b/>
          <w:color w:val="2B5C9E"/>
          <w:sz w:val="22"/>
        </w:rPr>
        <w:t>FinAgent Pro差异化：</w:t>
      </w:r>
      <w:r>
        <w:rPr>
          <w:rFonts w:ascii="微软雅黑" w:hAnsi="微软雅黑" w:eastAsia="微软雅黑"/>
          <w:b w:val="0"/>
          <w:sz w:val="22"/>
        </w:rPr>
        <w:t>主动智能体替代被动工具，从「人找数据」变为「数据找人」。6大专业智能体自主完成从信息采集到决策建议的全链路分析，用户无需逐个功能模块操作，一句话即可触发完整分析流程。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竞争者2：通用AI平台（百度文心、阿里通义、智谱GLM）</w:t>
      </w:r>
    </w:p>
    <w:p>
      <w:pPr>
        <w:spacing w:before="40" w:after="40" w:line="360" w:lineRule="auto"/>
        <w:ind w:left="283"/>
      </w:pPr>
      <w:r>
        <w:rPr>
          <w:rFonts w:ascii="微软雅黑" w:hAnsi="微软雅黑" w:eastAsia="微软雅黑"/>
          <w:b/>
          <w:color w:val="27AE60"/>
          <w:sz w:val="22"/>
        </w:rPr>
        <w:t>优势：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大模型能力强：千亿参数模型，通用理解和生成能力出色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算力资源丰富：云厂商基础设施，弹性扩缩容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生态体系完善：插件市场、开发者社区、行业解决方案</w:t>
      </w:r>
    </w:p>
    <w:p>
      <w:pPr>
        <w:spacing w:before="40" w:after="4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劣势：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缺乏金融垂直深度：不懂技术指标含义、不懂合规规则、不懂交易逻辑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无合规规则引擎：无法满足金融监管审计要求，机构无法采购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无多智能体协同：单模型调用模式，无法完成复杂金融任务链</w:t>
      </w:r>
    </w:p>
    <w:p>
      <w:pPr>
        <w:spacing w:before="80" w:after="120" w:line="360" w:lineRule="auto"/>
        <w:ind w:left="283"/>
      </w:pPr>
      <w:r>
        <w:rPr>
          <w:rFonts w:ascii="微软雅黑" w:hAnsi="微软雅黑" w:eastAsia="微软雅黑"/>
          <w:b/>
          <w:color w:val="2B5C9E"/>
          <w:sz w:val="22"/>
        </w:rPr>
        <w:t>FinAgent Pro差异化：</w:t>
      </w:r>
      <w:r>
        <w:rPr>
          <w:rFonts w:ascii="微软雅黑" w:hAnsi="微软雅黑" w:eastAsia="微软雅黑"/>
          <w:b w:val="0"/>
          <w:sz w:val="22"/>
        </w:rPr>
        <w:t>金融垂直场景深度定制，6大专业智能体协同+合规内嵌。不是「通用AI套金融壳」，而是从架构层面为金融场景设计的专业系统——每个智能体内置金融领域知识，Orchestrator理解金融分析流程，合规规则引擎确保每步操作可审计可追溯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竞争者3：海外金融AI（Bloomberg GPT、Kensho）</w:t>
      </w:r>
    </w:p>
    <w:p>
      <w:pPr>
        <w:spacing w:before="40" w:after="40" w:line="360" w:lineRule="auto"/>
        <w:ind w:left="283"/>
      </w:pPr>
      <w:r>
        <w:rPr>
          <w:rFonts w:ascii="微软雅黑" w:hAnsi="微软雅黑" w:eastAsia="微软雅黑"/>
          <w:b/>
          <w:color w:val="27AE60"/>
          <w:sz w:val="22"/>
        </w:rPr>
        <w:t>优势：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技术成熟：Bloomberg GPT 500亿参数金融专用模型，Kensho被S&amp;P Global收购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海外市场验证：华尔街机构已广泛采用，商业模式成熟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数据资源丰富：全球金融市场数据覆盖</w:t>
      </w:r>
    </w:p>
    <w:p>
      <w:pPr>
        <w:spacing w:before="40" w:after="40" w:line="360" w:lineRule="auto"/>
        <w:ind w:left="283"/>
      </w:pPr>
      <w:r>
        <w:rPr>
          <w:rFonts w:ascii="微软雅黑" w:hAnsi="微软雅黑" w:eastAsia="微软雅黑"/>
          <w:b/>
          <w:color w:val="C0392B"/>
          <w:sz w:val="22"/>
        </w:rPr>
        <w:t>劣势：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不支持A股数据源和中文语境：无法处理中文新闻、A股交易规则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无法满足国内金融监管合规要求：银保监、证监会审计标准不同</w:t>
      </w:r>
    </w:p>
    <w:p>
      <w:pPr>
        <w:spacing w:before="20" w:after="20" w:line="336" w:lineRule="auto"/>
        <w:ind w:left="680"/>
      </w:pPr>
      <w:r>
        <w:rPr>
          <w:rFonts w:ascii="微软雅黑" w:hAnsi="微软雅黑" w:eastAsia="微软雅黑"/>
          <w:b w:val="0"/>
          <w:sz w:val="21"/>
        </w:rPr>
        <w:t>● 数据出境风险：金融机构核心数据不能出境，无法采用海外方案</w:t>
      </w:r>
    </w:p>
    <w:p>
      <w:pPr>
        <w:spacing w:before="80" w:after="120" w:line="360" w:lineRule="auto"/>
        <w:ind w:left="283"/>
      </w:pPr>
      <w:r>
        <w:rPr>
          <w:rFonts w:ascii="微软雅黑" w:hAnsi="微软雅黑" w:eastAsia="微软雅黑"/>
          <w:b/>
          <w:color w:val="2B5C9E"/>
          <w:sz w:val="22"/>
        </w:rPr>
        <w:t>FinAgent Pro差异化：</w:t>
      </w:r>
      <w:r>
        <w:rPr>
          <w:rFonts w:ascii="微软雅黑" w:hAnsi="微软雅黑" w:eastAsia="微软雅黑"/>
          <w:b w:val="0"/>
          <w:sz w:val="22"/>
        </w:rPr>
        <w:t>国产大模型基座+A股数据源+中文NLP+合规规则引擎，数据不出境，安全可信。GLM-5.1/DeepSeek/SenseNova三模型降级链确保服务可用性，AKShare+东方财富提供A股实时数据，中文NLP精准分析国内新闻舆情，合规规则引擎内置中国金融监管规则，满足审计要求。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三、竞争对比矩阵</w:t>
      </w:r>
    </w:p>
    <w:p>
      <w:pPr>
        <w:spacing w:before="80" w:after="16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四维对比分析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1701"/>
            <w:shd w:fill="7F8C8D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传统金融终端</w:t>
            </w:r>
          </w:p>
        </w:tc>
        <w:tc>
          <w:tcPr>
            <w:tcW w:type="dxa" w:w="1701"/>
            <w:shd w:fill="7F8C8D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通用AI平台</w:t>
            </w:r>
          </w:p>
        </w:tc>
        <w:tc>
          <w:tcPr>
            <w:tcW w:type="dxa" w:w="1701"/>
            <w:shd w:fill="7F8C8D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海外金融AI</w:t>
            </w:r>
          </w:p>
        </w:tc>
        <w:tc>
          <w:tcPr>
            <w:tcW w:type="dxa" w:w="1984"/>
            <w:shd w:fill="27AE60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FinAgent Pro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19"/>
              </w:rPr>
              <w:t>主动智能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✗ 被动工具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✗ 被动问答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△ 部分支持</w:t>
            </w:r>
          </w:p>
        </w:tc>
        <w:tc>
          <w:tcPr>
            <w:tcW w:type="dxa" w:w="1984"/>
            <w:shd w:fill="E8F5E9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7AE60"/>
                <w:sz w:val="19"/>
              </w:rPr>
              <w:t>✓ 三层主动智能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19"/>
              </w:rPr>
              <w:t>多智能体协同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✗ 无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✗ 单模型调用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△ 简单编排</w:t>
            </w:r>
          </w:p>
        </w:tc>
        <w:tc>
          <w:tcPr>
            <w:tcW w:type="dxa" w:w="1984"/>
            <w:shd w:fill="E8F5E9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7AE60"/>
                <w:sz w:val="19"/>
              </w:rPr>
              <w:t>✓ 6智能体+Orchestrator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19"/>
              </w:rPr>
              <w:t>合规内嵌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△ 附加模块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✗ 无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✗ 不适配中国</w:t>
            </w:r>
          </w:p>
        </w:tc>
        <w:tc>
          <w:tcPr>
            <w:tcW w:type="dxa" w:w="1984"/>
            <w:shd w:fill="E8F5E9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7AE60"/>
                <w:sz w:val="19"/>
              </w:rPr>
              <w:t>✓ 规则引擎+审计日志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19"/>
              </w:rPr>
              <w:t>A股适配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✓ 数据全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△ 通用数据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✗ 不支持</w:t>
            </w:r>
          </w:p>
        </w:tc>
        <w:tc>
          <w:tcPr>
            <w:tcW w:type="dxa" w:w="1984"/>
            <w:shd w:fill="E8F5E9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7AE60"/>
                <w:sz w:val="19"/>
              </w:rPr>
              <w:t>✓ 原生A股+中文NLP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四、核心竞争壁垒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FinAgent Pro的竞争优势不仅在于功能差异，更在于三层壁垒的系统性构建：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壁垒1：技术护城河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三层架构（智能体引擎+协同调度+主动智能）是核心壁垒，竞品仅做到单层——传统终端只有数据展示，通用AI只有模型调用，海外产品只有简单编排。FinAgent Pro的三层协同需要深厚的金融场景理解和系统工程能力，难以短期复制。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壁垒2：准入壁垒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合规内嵌（规则引擎+审计日志）是金融机构采购的硬性要求。传统终端的合规是附加模块，通用AI平台完全没有合规能力。FinAgent Pro从架构层面将合规作为一等公民，每步操作可审计可追溯，满足银保监、证监会的监管要求，这是进入金融行业的入场券。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壁垒3：体验壁垒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主动智能（定时巡检+事件驱动+阈值预警）让数字员工从被动变为主动，用户无需主动查询，系统自动发现风险、推送预警、生成报告。这种'从人找信息到信息找人'的体验跃迁，一旦用户习惯就难以回到被动模式。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五、竞争策略</w:t>
      </w:r>
    </w:p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策略1：差异化切入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避开与传统终端的数据竞争，以「自主智能体」为切入点，先服务传统终端无法覆盖的主动分析和智能决策场景，再逐步向数据层扩展，实现从工具到平台的跃迁。</w:t>
      </w:r>
    </w:p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策略2：合规先行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将合规内嵌作为核心卖点，优先获取金融机构采购准入，建立「合规=FinAgent Pro」的心智认知，形成准入壁垒。</w:t>
      </w:r>
    </w:p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策略3：生态共建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开放智能体开发框架，吸引第三方开发者构建垂直场景智能体，形成「金融智能体应用市场」，从产品竞争升级为生态竞争。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1A3C6E"/>
      </w:pBdr>
    </w:pPr>
    <w:r>
      <w:rPr>
        <w:rFonts w:ascii="微软雅黑" w:hAnsi="微软雅黑" w:eastAsia="微软雅黑"/>
        <w:b/>
        <w:color w:val="1A3C6E"/>
        <w:sz w:val="18"/>
      </w:rPr>
      <w:t>FinAgent Pro 市场竞争分析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