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240" w:line="240" w:lineRule="auto"/>
        <w:jc w:val="center"/>
      </w:pPr>
      <w:r>
        <w:rPr>
          <w:rFonts w:ascii="微软雅黑" w:hAnsi="微软雅黑" w:eastAsia="微软雅黑"/>
          <w:b/>
          <w:color w:val="1A3C6E"/>
          <w:sz w:val="72"/>
        </w:rPr>
        <w:t>FinAgent Pro</w:t>
      </w:r>
    </w:p>
    <w:p>
      <w:pPr>
        <w:spacing w:before="0" w:after="120" w:line="240" w:lineRule="auto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核心技术</w:t>
      </w:r>
    </w:p>
    <w:p>
      <w:pPr>
        <w:spacing w:before="240" w:after="240" w:line="240" w:lineRule="auto"/>
        <w:jc w:val="center"/>
      </w:pPr>
      <w:r>
        <w:rPr>
          <w:rFonts w:ascii="微软雅黑" w:hAnsi="微软雅黑" w:eastAsia="微软雅黑"/>
          <w:b w:val="0"/>
          <w:color w:val="2B5C9E"/>
          <w:sz w:val="24"/>
        </w:rPr>
        <w:t>━━━━━━━━━━━━━━━━━━━━━━━━━━━━━━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AFAC2026金融智能创新大赛 初创组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智融先锋团队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2026年6月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一、技术栈总览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FinAgent Pro采用7大核心技术领域协同构建，覆盖从大模型推理到工程部署的完整技术链路。以下表格展示了各技术领域的核心组件与关键能力。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771"/>
        <w:gridCol w:w="2771"/>
        <w:gridCol w:w="2771"/>
      </w:tblGrid>
      <w:tr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技术领域</w:t>
            </w:r>
          </w:p>
        </w:tc>
        <w:tc>
          <w:tcPr>
            <w:tcW w:type="dxa" w:w="3118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核心技术</w:t>
            </w:r>
          </w:p>
        </w:tc>
        <w:tc>
          <w:tcPr>
            <w:tcW w:type="dxa" w:w="4252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关键能力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大语言模型</w:t>
            </w:r>
          </w:p>
        </w:tc>
        <w:tc>
          <w:tcPr>
            <w:tcW w:type="dxa" w:w="311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ReAct推理引擎</w:t>
            </w:r>
          </w:p>
        </w:tc>
        <w:tc>
          <w:tcPr>
            <w:tcW w:type="dxa" w:w="425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Thought-Action-Observation自主推理循环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多智能体协同</w:t>
            </w:r>
          </w:p>
        </w:tc>
        <w:tc>
          <w:tcPr>
            <w:tcW w:type="dxa" w:w="311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Master Orchestrator</w:t>
            </w:r>
          </w:p>
        </w:tc>
        <w:tc>
          <w:tcPr>
            <w:tcW w:type="dxa" w:w="425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三阶段流水线+加权协商+LLM增强推理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记忆系统</w:t>
            </w:r>
          </w:p>
        </w:tc>
        <w:tc>
          <w:tcPr>
            <w:tcW w:type="dxa" w:w="311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三层记忆架构</w:t>
            </w:r>
          </w:p>
        </w:tc>
        <w:tc>
          <w:tcPr>
            <w:tcW w:type="dxa" w:w="425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工作记忆+情节记忆+语义记忆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主动智能</w:t>
            </w:r>
          </w:p>
        </w:tc>
        <w:tc>
          <w:tcPr>
            <w:tcW w:type="dxa" w:w="311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APScheduler+WebSocket</w:t>
            </w:r>
          </w:p>
        </w:tc>
        <w:tc>
          <w:tcPr>
            <w:tcW w:type="dxa" w:w="425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定时巡检+事件驱动+阈值预警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合规引擎</w:t>
            </w:r>
          </w:p>
        </w:tc>
        <w:tc>
          <w:tcPr>
            <w:tcW w:type="dxa" w:w="311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规则引擎+审计中间件</w:t>
            </w:r>
          </w:p>
        </w:tc>
        <w:tc>
          <w:tcPr>
            <w:tcW w:type="dxa" w:w="425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四维风控+合规约束+全链路审计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金融计算</w:t>
            </w:r>
          </w:p>
        </w:tc>
        <w:tc>
          <w:tcPr>
            <w:tcW w:type="dxa" w:w="311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AKShare+ta-lib</w:t>
            </w:r>
          </w:p>
        </w:tc>
        <w:tc>
          <w:tcPr>
            <w:tcW w:type="dxa" w:w="425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A股行情+技术指标+VaR风险计算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工程架构</w:t>
            </w:r>
          </w:p>
        </w:tc>
        <w:tc>
          <w:tcPr>
            <w:tcW w:type="dxa" w:w="311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FastAPI+Vue3+Docker</w:t>
            </w:r>
          </w:p>
        </w:tc>
        <w:tc>
          <w:tcPr>
            <w:tcW w:type="dxa" w:w="425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异步API+暗色主题+容器化部署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二、大语言模型与推理引擎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ReAct推理引擎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ReAct（Reasoning + Acting）推理引擎是FinAgent Pro的核心创新，实现了Thought-Action-Observation自主推理循环。不同于传统单次调用模式，ReAct引擎让智能体能够像人类分析师一样逐步推理。</w:t>
      </w:r>
    </w:p>
    <w:p>
      <w:pPr>
        <w:spacing w:before="120" w:after="120" w:line="240" w:lineRule="auto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8"/>
        </w:rPr>
        <w:t xml:space="preserve">    ┌──────────┐     ┌──────────┐     ┌──────────┐</w:t>
        <w:br/>
        <w:t xml:space="preserve">    │  Thought  │────▶│  Action   │────▶│Observation│</w:t>
        <w:br/>
        <w:t xml:space="preserve">    │  思考推理  │     │  执行动作  │     │  观察结果  │</w:t>
        <w:br/>
        <w:t xml:space="preserve">    └──────────┘     └──────────┘     └──────────┘</w:t>
        <w:br/>
        <w:t xml:space="preserve">         ▲                                    │</w:t>
        <w:br/>
        <w:t xml:space="preserve">         └────────────────────────────────────┘</w:t>
        <w:br/>
        <w:t xml:space="preserve">                      循环迭代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ReAct推理引擎是FinAgent Pro的核心创新，区别于传统单次调用模式。每个智能体在ReAct循环中：先思考需要什么信息（Thought），再调用工具获取数据（Action），最后观察结果并决定下一步（Observation）。这种循环机制让智能体像人类分析师一样逐步推理，而非一次性给出答案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771"/>
        <w:gridCol w:w="2771"/>
        <w:gridCol w:w="2771"/>
      </w:tblGrid>
      <w:tr>
        <w:tc>
          <w:tcPr>
            <w:tcW w:type="dxa" w:w="1417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35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819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2835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2B5C9E"/>
                <w:sz w:val="20"/>
              </w:rPr>
              <w:t>Thought</w:t>
            </w:r>
          </w:p>
        </w:tc>
        <w:tc>
          <w:tcPr>
            <w:tcW w:type="dxa" w:w="481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需要先获取贵州茅台的最新行情数据，判断当前价格趋势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2835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2B5C9E"/>
                <w:sz w:val="20"/>
              </w:rPr>
              <w:t>Action</w:t>
            </w:r>
          </w:p>
        </w:tc>
        <w:tc>
          <w:tcPr>
            <w:tcW w:type="dxa" w:w="4819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调用 get_stock_quote(symbol='600519') 获取实时行情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2835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2B5C9E"/>
                <w:sz w:val="20"/>
              </w:rPr>
              <w:t>Observation</w:t>
            </w:r>
          </w:p>
        </w:tc>
        <w:tc>
          <w:tcPr>
            <w:tcW w:type="dxa" w:w="481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当前价1856元，涨幅2.3%，RSI=68接近超买区，需进一步分析</w:t>
            </w:r>
          </w:p>
        </w:tc>
      </w:tr>
    </w:tbl>
    <w:p/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多LLM降级链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采用三模型自动降级机制，通过OpenAI兼容接口统一调用，确保服务高可用。当主力模型不可用时，自动切换至备选模型，指数退避重试保障稳定性。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984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2268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685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能力特点</w:t>
            </w:r>
          </w:p>
        </w:tc>
      </w:tr>
      <w:tr>
        <w:tc>
          <w:tcPr>
            <w:tcW w:type="dxa" w:w="1134"/>
            <w:shd w:fill="27AE60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主力</w:t>
            </w:r>
          </w:p>
        </w:tc>
        <w:tc>
          <w:tcPr>
            <w:tcW w:type="dxa" w:w="198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GLM-5.1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核心推理</w:t>
            </w:r>
          </w:p>
        </w:tc>
        <w:tc>
          <w:tcPr>
            <w:tcW w:type="dxa" w:w="3685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千亿参数，中文理解强，金融推理准确</w:t>
            </w:r>
          </w:p>
        </w:tc>
      </w:tr>
      <w:tr>
        <w:tc>
          <w:tcPr>
            <w:tcW w:type="dxa" w:w="1134"/>
            <w:shd w:fill="F39C12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备选</w:t>
            </w:r>
          </w:p>
        </w:tc>
        <w:tc>
          <w:tcPr>
            <w:tcW w:type="dxa" w:w="1984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DeepSeek-v4-pro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降级容灾</w:t>
            </w:r>
          </w:p>
        </w:tc>
        <w:tc>
          <w:tcPr>
            <w:tcW w:type="dxa" w:w="3685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MoE架构，推理效率高，成本优化</w:t>
            </w:r>
          </w:p>
        </w:tc>
      </w:tr>
      <w:tr>
        <w:tc>
          <w:tcPr>
            <w:tcW w:type="dxa" w:w="1134"/>
            <w:shd w:fill="3498DB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轻量</w:t>
            </w:r>
          </w:p>
        </w:tc>
        <w:tc>
          <w:tcPr>
            <w:tcW w:type="dxa" w:w="198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SenseNova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快速响应</w:t>
            </w:r>
          </w:p>
        </w:tc>
        <w:tc>
          <w:tcPr>
            <w:tcW w:type="dxa" w:w="3685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6.7B轻量模型，低延迟，简单任务</w:t>
            </w:r>
          </w:p>
        </w:tc>
      </w:tr>
    </w:tbl>
    <w:p/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结构化JSON输出约束LLM生成可解析的结构化结果，Markdown代码块自动清理，确保下游智能体和前端能够可靠地处理LLM输出。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三、多智能体协同调度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三阶段流水线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Master Orchestrator采用三阶段流水线调度，确保6大专业智能体高效协同：</w:t>
      </w:r>
    </w:p>
    <w:p>
      <w:pPr>
        <w:spacing w:before="120" w:after="120" w:line="240" w:lineRule="auto"/>
        <w:shd w:val="clear" w:color="auto" w:fill="D6E4F0"/>
      </w:pPr>
      <w:r>
        <w:rPr>
          <w:rFonts w:ascii="Consolas" w:hAnsi="Consolas" w:eastAsia="微软雅黑"/>
          <w:b w:val="0"/>
          <w:color w:val="1A3C6E"/>
          <w:sz w:val="17"/>
        </w:rPr>
        <w:t xml:space="preserve">  ┌─────────── Phase 1（并行）──────────┐</w:t>
        <w:br/>
        <w:t xml:space="preserve">  │  ┌──────────┐    ┌──────────┐       │</w:t>
        <w:br/>
        <w:t xml:space="preserve">  │  │市场分析   │    │新闻舆情   │       │</w:t>
        <w:br/>
        <w:t xml:space="preserve">  │  │智能体     │    │智能体     │       │</w:t>
        <w:br/>
        <w:t xml:space="preserve">  │  └─────┬────┘    └─────┬────┘       │</w:t>
        <w:br/>
        <w:t xml:space="preserve">  └────────┼───────────────┼────────────┘</w:t>
        <w:br/>
        <w:t xml:space="preserve">           │               │</w:t>
        <w:br/>
        <w:t xml:space="preserve">           ▼               ▼</w:t>
        <w:br/>
        <w:t xml:space="preserve">  ┌─────────── Phase 2（串行）──────────┐</w:t>
        <w:br/>
        <w:t xml:space="preserve">  │  ┌──────────────────────────┐       │</w:t>
        <w:br/>
        <w:t xml:space="preserve">  │  │    风控合规智能体          │       │</w:t>
        <w:br/>
        <w:t xml:space="preserve">  │  └────────────┬─────────────┘       │</w:t>
        <w:br/>
        <w:t xml:space="preserve">  └───────────────┼─────────────────────┘</w:t>
        <w:br/>
        <w:t xml:space="preserve">                  │</w:t>
        <w:br/>
        <w:t xml:space="preserve">                  ▼</w:t>
        <w:br/>
        <w:t xml:space="preserve">  ┌─────────── Phase 3（策略）──────────┐</w:t>
        <w:br/>
        <w:t xml:space="preserve">  │  ┌──────────┐    ┌──────────┐       │</w:t>
        <w:br/>
        <w:t xml:space="preserve">  │  │投资策略   │    │报告生成   │       │</w:t>
        <w:br/>
        <w:t xml:space="preserve">  │  │智能体     │    │智能体     │       │</w:t>
        <w:br/>
        <w:t xml:space="preserve">  │  └──────────┘    └──────────┘       │</w:t>
        <w:br/>
        <w:t xml:space="preserve">  └─────────────────────────────────────┘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Phase 1（并行执行）：</w:t>
      </w:r>
      <w:r>
        <w:rPr>
          <w:rFonts w:ascii="微软雅黑" w:hAnsi="微软雅黑" w:eastAsia="微软雅黑"/>
          <w:b w:val="0"/>
          <w:sz w:val="22"/>
        </w:rPr>
        <w:t>市场分析智能体和新闻舆情智能体同时启动，分别计算技术指标/估值指标和抓取新闻/情感分析，互不依赖，最大化并行效率。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Phase 2（串行执行）：</w:t>
      </w:r>
      <w:r>
        <w:rPr>
          <w:rFonts w:ascii="微软雅黑" w:hAnsi="微软雅黑" w:eastAsia="微软雅黑"/>
          <w:b w:val="0"/>
          <w:sz w:val="22"/>
        </w:rPr>
        <w:t>风控合规智能体依赖Phase 1的结果，评估波动率/集中度/流动性四维风险，并执行合规规则引擎检查。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Phase 3（策略生成）：</w:t>
      </w:r>
      <w:r>
        <w:rPr>
          <w:rFonts w:ascii="微软雅黑" w:hAnsi="微软雅黑" w:eastAsia="微软雅黑"/>
          <w:b w:val="0"/>
          <w:sz w:val="22"/>
        </w:rPr>
        <w:t>投资策略智能体综合前两阶段结果，生成仓位建议和目标价，报告生成智能体自动输出专业报告。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加权协商算法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6大智能体通过加权协商算法综合出最终建议：Final Signal = Σ(signal_i x confidence_i) / Σ(confidence_i)，置信度高的智能体在协商中拥有更大权重。协商结果经LLM增强推理二次处理，生成专业分析文本，确保结论既有数据支撑又有专业解读。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四、记忆与知识系统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三层记忆架构让数字员工具备上下文理解和持续学习能力，区别于传统无状态AI对话系统。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记忆层</w:t>
            </w:r>
          </w:p>
        </w:tc>
        <w:tc>
          <w:tcPr>
            <w:tcW w:type="dxa" w:w="1417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容量</w:t>
            </w:r>
          </w:p>
        </w:tc>
        <w:tc>
          <w:tcPr>
            <w:tcW w:type="dxa" w:w="2268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存储内容</w:t>
            </w:r>
          </w:p>
        </w:tc>
        <w:tc>
          <w:tcPr>
            <w:tcW w:type="dxa" w:w="3969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工作记忆</w:t>
            </w:r>
          </w:p>
        </w:tc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50条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当前会话信息</w:t>
            </w:r>
          </w:p>
        </w:tc>
        <w:tc>
          <w:tcPr>
            <w:tcW w:type="dxa" w:w="396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保存当前分析任务的上下文，如正在分析的股票、已获取的数据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情节记忆</w:t>
            </w:r>
          </w:p>
        </w:tc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100条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历史交互事件</w:t>
            </w:r>
          </w:p>
        </w:tc>
        <w:tc>
          <w:tcPr>
            <w:tcW w:type="dxa" w:w="3969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记录用户历史查询、分析结果、偏好设置，实现个性化服务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语义记忆</w:t>
            </w:r>
          </w:p>
        </w:tc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持久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金融知识库</w:t>
            </w:r>
          </w:p>
        </w:tc>
        <w:tc>
          <w:tcPr>
            <w:tcW w:type="dxa" w:w="396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存储行业术语、分析框架、合规规则等长期知识</w:t>
            </w:r>
          </w:p>
        </w:tc>
      </w:tr>
    </w:tbl>
    <w:p/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全局单例管理器确保智能体间共享记忆上下文，市场分析智能体获取的数据可被风控合规智能体直接引用，避免重复查询，提升协同效率。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五、主动智能机制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传统金融系统是被动响应式的，FinAgent Pro的主动智能让数字员工从被动变为主动：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定时巡检（APScheduler）：</w:t>
      </w:r>
      <w:r>
        <w:rPr>
          <w:rFonts w:ascii="微软雅黑" w:hAnsi="微软雅黑" w:eastAsia="微软雅黑"/>
          <w:b w:val="0"/>
          <w:sz w:val="22"/>
        </w:rPr>
        <w:t>每日8:30自动生成晨报，17:00自动生成收盘总结，定时触发风险扫描，无需人工干预。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事件驱动（WebSocket）：</w:t>
      </w:r>
      <w:r>
        <w:rPr>
          <w:rFonts w:ascii="微软雅黑" w:hAnsi="微软雅黑" w:eastAsia="微软雅黑"/>
          <w:b w:val="0"/>
          <w:sz w:val="22"/>
        </w:rPr>
        <w:t>持仓股突发利空消息时，系统自动触发从新闻抓取到风险评估到策略调整的全链路分析，并实时推送结果至前端。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阈值预警：</w:t>
      </w:r>
      <w:r>
        <w:rPr>
          <w:rFonts w:ascii="微软雅黑" w:hAnsi="微软雅黑" w:eastAsia="微软雅黑"/>
          <w:b w:val="0"/>
          <w:sz w:val="22"/>
        </w:rPr>
        <w:t>当技术指标越界（RSI超买超卖）、风险指标超限时，系统主动发现并推送预警，不等用户查询。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六、合规规则引擎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四维风控体系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波动率风险：</w:t>
      </w:r>
      <w:r>
        <w:rPr>
          <w:rFonts w:ascii="微软雅黑" w:hAnsi="微软雅黑" w:eastAsia="微软雅黑"/>
          <w:b w:val="0"/>
          <w:sz w:val="22"/>
        </w:rPr>
        <w:t>基于历史波动率和ATR指标，评估价格波动风险等级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市场风险：</w:t>
      </w:r>
      <w:r>
        <w:rPr>
          <w:rFonts w:ascii="微软雅黑" w:hAnsi="微软雅黑" w:eastAsia="微软雅黑"/>
          <w:b w:val="0"/>
          <w:sz w:val="22"/>
        </w:rPr>
        <w:t>基于大盘指数和行业指数，评估系统性风险暴露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舆情风险：</w:t>
      </w:r>
      <w:r>
        <w:rPr>
          <w:rFonts w:ascii="微软雅黑" w:hAnsi="微软雅黑" w:eastAsia="微软雅黑"/>
          <w:b w:val="0"/>
          <w:sz w:val="22"/>
        </w:rPr>
        <w:t>基于新闻情感分析和社交情绪，评估信息面风险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流动性风险：</w:t>
      </w:r>
      <w:r>
        <w:rPr>
          <w:rFonts w:ascii="微软雅黑" w:hAnsi="微软雅黑" w:eastAsia="微软雅黑"/>
          <w:b w:val="0"/>
          <w:sz w:val="22"/>
        </w:rPr>
        <w:t>基于成交量和换手率，评估资产变现能力</w:t>
      </w:r>
    </w:p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合规约束规则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771"/>
        <w:gridCol w:w="2771"/>
        <w:gridCol w:w="2771"/>
      </w:tblGrid>
      <w:tr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规则名称</w:t>
            </w:r>
          </w:p>
        </w:tc>
        <w:tc>
          <w:tcPr>
            <w:tcW w:type="dxa" w:w="2268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约束条件</w:t>
            </w:r>
          </w:p>
        </w:tc>
        <w:tc>
          <w:tcPr>
            <w:tcW w:type="dxa" w:w="5102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单股集中度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≤ 10%</w:t>
            </w:r>
          </w:p>
        </w:tc>
        <w:tc>
          <w:tcPr>
            <w:tcW w:type="dxa" w:w="510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单一股票持仓不超过组合总资产的10%，防范个股风险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行业集中度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≤ 30%</w:t>
            </w:r>
          </w:p>
        </w:tc>
        <w:tc>
          <w:tcPr>
            <w:tcW w:type="dxa" w:w="510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单一行业持仓不超过组合总资产的30%，分散行业风险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创业板限制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≤ 20%</w:t>
            </w:r>
          </w:p>
        </w:tc>
        <w:tc>
          <w:tcPr>
            <w:tcW w:type="dxa" w:w="510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创业板股票持仓不超过20%，控制高波动板块敞口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ST股禁止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0%</w:t>
            </w:r>
          </w:p>
        </w:tc>
        <w:tc>
          <w:tcPr>
            <w:tcW w:type="dxa" w:w="510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完全禁止持有ST/*ST股票，规避退市风险</w:t>
            </w:r>
          </w:p>
        </w:tc>
      </w:tr>
    </w:tbl>
    <w:p/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ComplianceAuditMiddleware审计中间件记录/analyze、/chat、/portfolio等关键路径的请求，全链路操作留痕，满足银保监、证监会的监管审计要求。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七、金融数据与计算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AKShare A股实时行情：</w:t>
      </w:r>
      <w:r>
        <w:rPr>
          <w:rFonts w:ascii="微软雅黑" w:hAnsi="微软雅黑" w:eastAsia="微软雅黑"/>
          <w:b w:val="0"/>
          <w:sz w:val="22"/>
        </w:rPr>
        <w:t>覆盖沪深两市全量股票，5分钟缓存机制，模拟数据兜底保障可用性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ta-lib技术指标：</w:t>
      </w:r>
      <w:r>
        <w:rPr>
          <w:rFonts w:ascii="微软雅黑" w:hAnsi="微软雅黑" w:eastAsia="微软雅黑"/>
          <w:b w:val="0"/>
          <w:sz w:val="22"/>
        </w:rPr>
        <w:t>SMA/EMA均线、RSI强弱指标、MACD趋势指标、布林带通道、ATR波动率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东方财富新闻API：</w:t>
      </w:r>
      <w:r>
        <w:rPr>
          <w:rFonts w:ascii="微软雅黑" w:hAnsi="微软雅黑" w:eastAsia="微软雅黑"/>
          <w:b w:val="0"/>
          <w:sz w:val="22"/>
        </w:rPr>
        <w:t>中文新闻抓取，NLP情感分析，多源新闻聚合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VaR历史模拟法：</w:t>
      </w:r>
      <w:r>
        <w:rPr>
          <w:rFonts w:ascii="微软雅黑" w:hAnsi="微软雅黑" w:eastAsia="微软雅黑"/>
          <w:b w:val="0"/>
          <w:sz w:val="22"/>
        </w:rPr>
        <w:t>基于历史收益率分布，计算95%/99%置信区间下的最大可能损失</w:t>
      </w:r>
    </w:p>
    <w:p>
      <w:pPr>
        <w:spacing w:before="40" w:after="40" w:line="360" w:lineRule="auto"/>
        <w:ind w:left="567"/>
      </w:pPr>
      <w:r>
        <w:rPr>
          <w:rFonts w:ascii="微软雅黑" w:hAnsi="微软雅黑" w:eastAsia="微软雅黑"/>
          <w:b/>
          <w:color w:val="2B5C9E"/>
          <w:sz w:val="22"/>
        </w:rPr>
        <w:t>多因子模型：</w:t>
      </w:r>
      <w:r>
        <w:rPr>
          <w:rFonts w:ascii="微软雅黑" w:hAnsi="微软雅黑" w:eastAsia="微软雅黑"/>
          <w:b w:val="0"/>
          <w:sz w:val="22"/>
        </w:rPr>
        <w:t>综合技术因子、基本面因子、情绪因子，生成投资信号</w:t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八、工程架构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771"/>
        <w:gridCol w:w="2771"/>
        <w:gridCol w:w="2771"/>
      </w:tblGrid>
      <w:tr>
        <w:tc>
          <w:tcPr>
            <w:tcW w:type="dxa" w:w="1417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18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技术栈</w:t>
            </w:r>
          </w:p>
        </w:tc>
        <w:tc>
          <w:tcPr>
            <w:tcW w:type="dxa" w:w="4535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关键特性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后端</w:t>
            </w:r>
          </w:p>
        </w:tc>
        <w:tc>
          <w:tcPr>
            <w:tcW w:type="dxa" w:w="3118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FastAPI + WebSocket + SSE</w:t>
            </w:r>
          </w:p>
        </w:tc>
        <w:tc>
          <w:tcPr>
            <w:tcW w:type="dxa" w:w="4535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异步高性能API / 实时双向通信 / 服务端推送 / SQLite+PostgreSQL双存储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前端</w:t>
            </w:r>
          </w:p>
        </w:tc>
        <w:tc>
          <w:tcPr>
            <w:tcW w:type="dxa" w:w="3118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Vue3 + TailwindCSS + Lightweight Charts</w:t>
            </w:r>
          </w:p>
        </w:tc>
        <w:tc>
          <w:tcPr>
            <w:tcW w:type="dxa" w:w="4535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组合式API / 暗色主题 / K线图表 / Pinia状态管理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部署</w:t>
            </w:r>
          </w:p>
        </w:tc>
        <w:tc>
          <w:tcPr>
            <w:tcW w:type="dxa" w:w="3118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20"/>
              </w:rPr>
              <w:t>Docker + docker-compose + Vercel</w:t>
            </w:r>
          </w:p>
        </w:tc>
        <w:tc>
          <w:tcPr>
            <w:tcW w:type="dxa" w:w="4535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容器化 / 一键部署 / 前端CDN加速 / 健康检查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1A3C6E"/>
      </w:pBdr>
    </w:pPr>
    <w:r>
      <w:rPr>
        <w:rFonts w:ascii="微软雅黑" w:hAnsi="微软雅黑" w:eastAsia="微软雅黑"/>
        <w:b/>
        <w:color w:val="1A3C6E"/>
        <w:sz w:val="18"/>
      </w:rPr>
      <w:t>FinAgent Pro 核心技术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