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4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72"/>
        </w:rPr>
        <w:t>FinAgent Pro</w:t>
      </w:r>
    </w:p>
    <w:p>
      <w:pPr>
        <w:spacing w:before="0" w:after="12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解决方案描述</w:t>
      </w:r>
    </w:p>
    <w:p>
      <w:pPr>
        <w:spacing w:before="240" w:after="240" w:line="240" w:lineRule="auto"/>
        <w:jc w:val="center"/>
      </w:pPr>
      <w:r>
        <w:rPr>
          <w:rFonts w:ascii="微软雅黑" w:hAnsi="微软雅黑" w:eastAsia="微软雅黑"/>
          <w:b w:val="0"/>
          <w:color w:val="2B5C9E"/>
          <w:sz w:val="24"/>
        </w:rPr>
        <w:t>━━━━━━━━━━━━━━━━━━━━━━━━━━━━━━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AFAC2026金融智能创新大赛 初创组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智融先锋团队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一、方案概述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FinAgent Pro构建了6大专业智能体协同工作的金融数字员工平台，通过三层架构解决金融行业痛点。平台以国产大模型为基座，融合ReAct推理引擎、持久记忆系统与主动智能机制，为金融机构提供从市场分析到投资决策的全链路智能支持。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传统金融分析面临三大痛点：一是信息孤岛，市场数据、新闻舆情、风控合规分散在不同系统；二是被动响应，分析师只能被动等待信息更新，无法主动发现风险；三是合规黑盒，AI决策过程不透明，难以满足监管审计要求。FinAgent Pro通过三层架构设计，系统性解决以上问题。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二、三层架构设计</w:t>
      </w:r>
    </w:p>
    <w:p>
      <w:pPr>
        <w:spacing w:before="80" w:after="16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架构总览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A3C6E"/>
          <w:left w:val="single" w:sz="8" w:space="0" w:color="1A3C6E"/>
          <w:bottom w:val="single" w:sz="8" w:space="0" w:color="1A3C6E"/>
          <w:right w:val="single" w:sz="8" w:space="0" w:color="1A3C6E"/>
          <w:insideH w:val="single" w:sz="4" w:space="0" w:color="1A3C6E"/>
          <w:insideV w:val="single" w:sz="4" w:space="0" w:color="1A3C6E"/>
        </w:tblBorders>
      </w:tblPr>
      <w:tblGrid>
        <w:gridCol w:w="8312"/>
      </w:tblGrid>
      <w:tr>
        <w:tc>
          <w:tcPr>
            <w:tcW w:type="dxa" w:w="9071"/>
            <w:shd w:fill="D6E4F0"/>
          </w:tcPr>
          <w:p>
            <w:pPr>
              <w:spacing w:before="120" w:after="12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6"/>
              </w:rPr>
              <w:t>FinAgent Pro 三层架构总览</w:t>
            </w:r>
          </w:p>
        </w:tc>
      </w:tr>
      <w:tr>
        <w:tc>
          <w:tcPr>
            <w:tcW w:type="dxa" w:w="9071"/>
            <w:shd w:fill="1A3C6E"/>
            <w:vAlign w:val="center"/>
          </w:tcPr>
          <w:p>
            <w:pPr>
              <w:spacing w:before="16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第三层：主动智能</w:t>
            </w:r>
          </w:p>
          <w:p>
            <w:pPr>
              <w:spacing w:before="40" w:after="1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定时巡检(APScheduler) · 事件驱动(WebSocket) · 阈值预警</w:t>
            </w:r>
          </w:p>
        </w:tc>
      </w:tr>
      <w:tr>
        <w:tc>
          <w:tcPr>
            <w:tcW w:type="dxa" w:w="9071"/>
            <w:shd w:fill="2B5C9E"/>
            <w:vAlign w:val="center"/>
          </w:tcPr>
          <w:p>
            <w:pPr>
              <w:spacing w:before="16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第二层：协同调度</w:t>
            </w:r>
          </w:p>
          <w:p>
            <w:pPr>
              <w:spacing w:before="40" w:after="1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Master Orchestrator 三阶段流水线 · 加权协商 + LLM增强推理</w:t>
            </w:r>
          </w:p>
        </w:tc>
      </w:tr>
      <w:tr>
        <w:tc>
          <w:tcPr>
            <w:tcW w:type="dxa" w:w="9071"/>
            <w:shd w:fill="3A6FA0"/>
            <w:vAlign w:val="center"/>
          </w:tcPr>
          <w:p>
            <w:pPr>
              <w:spacing w:before="16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第一层：智能体引擎</w:t>
            </w:r>
          </w:p>
          <w:p>
            <w:pPr>
              <w:spacing w:before="40" w:after="1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市场分析 · 新闻舆情 · 风控合规 · 投资策略 · 报告生成 · 执行监控</w:t>
              <w:br/>
              <w:t>ReAct推理引擎 + 三层记忆系统</w:t>
            </w:r>
          </w:p>
        </w:tc>
      </w:tr>
      <w:tr>
        <w:tc>
          <w:tcPr>
            <w:tcW w:type="dxa" w:w="9071"/>
            <w:shd w:fill="5A8DB8"/>
            <w:vAlign w:val="center"/>
          </w:tcPr>
          <w:p>
            <w:pPr>
              <w:spacing w:before="16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基座层</w:t>
            </w:r>
          </w:p>
          <w:p>
            <w:pPr>
              <w:spacing w:before="40" w:after="1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GLM-5.1 / DeepSeek-v4-pro / SenseNova</w:t>
              <w:br/>
              <w:t>AKShare + Tushare + 东方财富</w:t>
            </w:r>
          </w:p>
        </w:tc>
      </w:tr>
    </w:tbl>
    <w:p/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第一层：智能体引擎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每个智能体内置ReAct推理引擎，执行「思考→行动→观察」循环。不同于传统的单次调用模式，ReAct引擎让智能体能够像人类分析师一样，先思考需要什么信息，再采取行动获取，最后观察结果并决定下一步。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智能体</w:t>
            </w:r>
          </w:p>
        </w:tc>
        <w:tc>
          <w:tcPr>
            <w:tcW w:type="dxa" w:w="2835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4819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技术指标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市场分析智能体</w:t>
            </w:r>
          </w:p>
        </w:tc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技术指标与估值分析</w:t>
            </w:r>
          </w:p>
        </w:tc>
        <w:tc>
          <w:tcPr>
            <w:tcW w:type="dxa" w:w="481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RSI/MACD/KDJ技术指标，PE/PB/ROE估值指标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新闻舆情智能体</w:t>
            </w:r>
          </w:p>
        </w:tc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中文新闻抓取与情感分析</w:t>
            </w:r>
          </w:p>
        </w:tc>
        <w:tc>
          <w:tcPr>
            <w:tcW w:type="dxa" w:w="481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NLP情感分析，多源新闻聚合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风控合规智能体</w:t>
            </w:r>
          </w:p>
        </w:tc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四维风险评估与合规检查</w:t>
            </w:r>
          </w:p>
        </w:tc>
        <w:tc>
          <w:tcPr>
            <w:tcW w:type="dxa" w:w="481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波动率/集中度/流动性四维风险，合规规则引擎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投资策略智能体</w:t>
            </w:r>
          </w:p>
        </w:tc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仓位建议与目标价生成</w:t>
            </w:r>
          </w:p>
        </w:tc>
        <w:tc>
          <w:tcPr>
            <w:tcW w:type="dxa" w:w="481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多因子模型，风险收益优化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报告生成智能体</w:t>
            </w:r>
          </w:p>
        </w:tc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自动输出专业报告</w:t>
            </w:r>
          </w:p>
        </w:tc>
        <w:tc>
          <w:tcPr>
            <w:tcW w:type="dxa" w:w="481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晨报/研报/风控周报模板化生成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执行监控智能体</w:t>
            </w:r>
          </w:p>
        </w:tc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定时巡检与主动预警</w:t>
            </w:r>
          </w:p>
        </w:tc>
        <w:tc>
          <w:tcPr>
            <w:tcW w:type="dxa" w:w="481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APScheduler调度，WebSocket推送</w:t>
            </w:r>
          </w:p>
        </w:tc>
      </w:tr>
    </w:tbl>
    <w:p/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第二层：协同调度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Master Orchestrator采用三阶段流水线调度，确保智能体间的高效协同：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Phase 1（并行执行）：</w:t>
      </w:r>
      <w:r>
        <w:rPr>
          <w:rFonts w:ascii="微软雅黑" w:hAnsi="微软雅黑" w:eastAsia="微软雅黑"/>
          <w:b w:val="0"/>
          <w:sz w:val="22"/>
        </w:rPr>
        <w:t>市场分析智能体和新闻舆情智能体同时启动，分别计算技术指标/估值指标和抓取新闻/情感分析，互不依赖，最大化并行效率。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Phase 2（串行执行）：</w:t>
      </w:r>
      <w:r>
        <w:rPr>
          <w:rFonts w:ascii="微软雅黑" w:hAnsi="微软雅黑" w:eastAsia="微软雅黑"/>
          <w:b w:val="0"/>
          <w:sz w:val="22"/>
        </w:rPr>
        <w:t>风控合规智能体依赖Phase 1的结果，在获取市场数据和舆情信息后，评估波动率/集中度/流动性四维风险，并执行合规规则引擎检查。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Phase 3（策略生成）：</w:t>
      </w:r>
      <w:r>
        <w:rPr>
          <w:rFonts w:ascii="微软雅黑" w:hAnsi="微软雅黑" w:eastAsia="微软雅黑"/>
          <w:b w:val="0"/>
          <w:sz w:val="22"/>
        </w:rPr>
        <w:t>投资策略智能体综合前两个阶段的分析结果，生成仓位建议和目标价，报告生成智能体自动输出晨报/研报/风控周报。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6大智能体通过加权协商算法（Σsignal×confidence / Σconfidence）综合出最终建议，并由LLM增强推理生成专业分析文本，确保结论既有数据支撑又有专业解读。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第三层：主动智能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传统金融系统是被动响应式的——用户问什么，系统答什么。FinAgent Pro的第三层主动智能，让数字员工从被动变为主动：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定时巡检（APScheduler）：</w:t>
      </w:r>
      <w:r>
        <w:rPr>
          <w:rFonts w:ascii="微软雅黑" w:hAnsi="微软雅黑" w:eastAsia="微软雅黑"/>
          <w:b w:val="0"/>
          <w:sz w:val="22"/>
        </w:rPr>
        <w:t>每日8:30自动生成晨报，17:00自动生成收盘总结，无需人工触发，数字员工主动完成日常分析任务。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事件驱动（WebSocket）：</w:t>
      </w:r>
      <w:r>
        <w:rPr>
          <w:rFonts w:ascii="微软雅黑" w:hAnsi="微软雅黑" w:eastAsia="微软雅黑"/>
          <w:b w:val="0"/>
          <w:sz w:val="22"/>
        </w:rPr>
        <w:t>持仓股突发利空消息时，系统自动触发分析流程，从新闻抓取到风险评估到策略调整，全链路自动执行并实时推送结果。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阈值预警：</w:t>
      </w:r>
      <w:r>
        <w:rPr>
          <w:rFonts w:ascii="微软雅黑" w:hAnsi="微软雅黑" w:eastAsia="微软雅黑"/>
          <w:b w:val="0"/>
          <w:sz w:val="22"/>
        </w:rPr>
        <w:t>当技术指标越界（如RSI超买超卖）、风险指标超限时，系统主动发现并推送预警，不等用户查询。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三层记忆系统（工作记忆+情节记忆+语义记忆）让数字员工记住上下文，工作记忆保存当前会话信息，情节记忆记录历史交互事件，语义记忆存储长期知识。合规规则引擎确保每步操作可审计可追溯，满足金融监管要求。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以国产大模型GLM-5.1/DeepSeek/SenseNova为基座，数据不出境，安全可信。通过AKShare、Tushare、东方财富等多源数据接入，确保数据的全面性和实时性。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三、系统架构图</w:t>
      </w:r>
    </w:p>
    <w:p>
      <w:pPr>
        <w:spacing w:before="120" w:after="120" w:line="240" w:lineRule="auto"/>
        <w:jc w:val="left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6"/>
        </w:rPr>
        <w:t>┌─────────────────────────────────────────────────────┐</w:t>
        <w:br/>
        <w:t>│           第三层：主动智能                              │</w:t>
        <w:br/>
        <w:t>│  定时巡检(APScheduler) │ 事件驱动(WebSocket) │ 阈值预警  │</w:t>
        <w:br/>
        <w:t>├─────────────────────────────────────────────────────┤</w:t>
        <w:br/>
        <w:t>│           第二层：协同调度                              │</w:t>
        <w:br/>
        <w:t>│        Master Orchestrator (三阶段流水线)              │</w:t>
        <w:br/>
        <w:t>│  Phase1: 并行(市场+新闻) → Phase2: 风控 → Phase3: 策略  │</w:t>
        <w:br/>
        <w:t>│           加权协商 + LLM增强推理                       │</w:t>
        <w:br/>
        <w:t>├─────────────────────────────────────────────────────┤</w:t>
        <w:br/>
        <w:t>│           第一层：智能体引擎                            │</w:t>
        <w:br/>
        <w:t>│  ┌──────┐ ┌──────┐ ┌──────┐ ┌──────┐ ┌──────┐ ┌──────┐│</w:t>
        <w:br/>
        <w:t>│  │市场  │ │新闻  │ │风控  │ │策略  │ │报告  │ │执行  ││</w:t>
        <w:br/>
        <w:t>│  │分析  │ │舆情  │ │合规  │ │投资  │ │生成  │ │监控  ││</w:t>
        <w:br/>
        <w:t>│  └──────┘ └──────┘ └──────┘ └──────┘ └──────┘ └──────┘│</w:t>
        <w:br/>
        <w:t>│           ReAct推理引擎 + 三层记忆系统                  │</w:t>
        <w:br/>
        <w:t>├─────────────────────────────────────────────────────┤</w:t>
        <w:br/>
        <w:t>│           基座层                                      │</w:t>
        <w:br/>
        <w:t>│  GLM-5.1 / DeepSeek-v4-pro / SenseNova              │</w:t>
        <w:br/>
        <w:t>│  AKShare + Tushare + 东方财富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四、核心创新点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FinAgent Pro的核心创新体现在以下六个方面：</w:t>
      </w:r>
    </w:p>
    <w:p>
      <w:pPr>
        <w:spacing w:before="12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850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创新点</w:t>
            </w:r>
          </w:p>
        </w:tc>
        <w:tc>
          <w:tcPr>
            <w:tcW w:type="dxa" w:w="6236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ReAct推理引擎</w:t>
            </w:r>
          </w:p>
        </w:tc>
        <w:tc>
          <w:tcPr>
            <w:tcW w:type="dxa" w:w="6236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思考→行动→观察循环，让AI像分析师一样推理</w:t>
            </w:r>
          </w:p>
        </w:tc>
      </w:tr>
      <w:tr>
        <w:tc>
          <w:tcPr>
            <w:tcW w:type="dxa" w:w="850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持久记忆系统</w:t>
            </w:r>
          </w:p>
        </w:tc>
        <w:tc>
          <w:tcPr>
            <w:tcW w:type="dxa" w:w="6236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工作记忆+情节记忆+语义记忆，记住上下文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主动智能</w:t>
            </w:r>
          </w:p>
        </w:tc>
        <w:tc>
          <w:tcPr>
            <w:tcW w:type="dxa" w:w="6236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定时巡检+事件驱动+阈值预警，从被动到主动</w:t>
            </w:r>
          </w:p>
        </w:tc>
      </w:tr>
      <w:tr>
        <w:tc>
          <w:tcPr>
            <w:tcW w:type="dxa" w:w="850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合规内嵌</w:t>
            </w:r>
          </w:p>
        </w:tc>
        <w:tc>
          <w:tcPr>
            <w:tcW w:type="dxa" w:w="6236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监管规则引擎+审计日志，每步可追溯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多智能体协商</w:t>
            </w:r>
          </w:p>
        </w:tc>
        <w:tc>
          <w:tcPr>
            <w:tcW w:type="dxa" w:w="6236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加权协商+LLM增强推理，综合多方意见</w:t>
            </w:r>
          </w:p>
        </w:tc>
      </w:tr>
      <w:tr>
        <w:tc>
          <w:tcPr>
            <w:tcW w:type="dxa" w:w="850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思维链可视化</w:t>
            </w:r>
          </w:p>
        </w:tc>
        <w:tc>
          <w:tcPr>
            <w:tcW w:type="dxa" w:w="6236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AI决策过程实时可见，黑盒变白盒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A3C6E"/>
      </w:pBdr>
    </w:pPr>
    <w:r>
      <w:rPr>
        <w:rFonts w:ascii="微软雅黑" w:hAnsi="微软雅黑" w:eastAsia="微软雅黑"/>
        <w:b/>
        <w:color w:val="1A3C6E"/>
        <w:sz w:val="18"/>
      </w:rPr>
      <w:t>FinAgent Pro 解决方案描述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