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  <w:jc w:val="center"/>
      </w:pPr>
      <w:r>
        <w:rPr>
          <w:rFonts w:ascii="微软雅黑" w:hAnsi="微软雅黑" w:eastAsia="微软雅黑"/>
          <w:b w:val="0"/>
          <w:color w:val="1A3C6E"/>
          <w:sz w:val="28"/>
        </w:rPr>
        <w:t>━━━━━━━━━━━━━━━━━━━━━━━━━━━━━━</w:t>
      </w:r>
    </w:p>
    <w:p>
      <w:pPr>
        <w:spacing w:after="80" w:before="600"/>
        <w:jc w:val="center"/>
      </w:pPr>
      <w:r>
        <w:rPr>
          <w:rFonts w:ascii="微软雅黑" w:hAnsi="微软雅黑" w:eastAsia="微软雅黑"/>
          <w:b/>
          <w:color w:val="1A3C6E"/>
          <w:sz w:val="72"/>
        </w:rPr>
        <w:t>AFAC2026</w:t>
      </w:r>
    </w:p>
    <w:p>
      <w:pPr>
        <w:spacing w:after="400" w:before="0"/>
        <w:jc w:val="center"/>
      </w:pPr>
      <w:r>
        <w:rPr>
          <w:rFonts w:ascii="微软雅黑" w:hAnsi="微软雅黑" w:eastAsia="微软雅黑"/>
          <w:b/>
          <w:color w:val="1A3C6E"/>
          <w:sz w:val="56"/>
        </w:rPr>
        <w:t>金融智能创新大赛</w:t>
      </w:r>
    </w:p>
    <w:p>
      <w:pPr>
        <w:spacing w:after="600" w:before="0"/>
        <w:jc w:val="center"/>
      </w:pPr>
      <w:r>
        <w:rPr>
          <w:rFonts w:ascii="微软雅黑" w:hAnsi="微软雅黑" w:eastAsia="微软雅黑"/>
          <w:b/>
          <w:color w:val="1A3C6E"/>
          <w:sz w:val="44"/>
        </w:rPr>
        <w:t>初创组</w:t>
      </w:r>
    </w:p>
    <w:p>
      <w:pPr>
        <w:jc w:val="center"/>
      </w:pPr>
      <w:r>
        <w:rPr>
          <w:rFonts w:ascii="微软雅黑" w:hAnsi="微软雅黑" w:eastAsia="微软雅黑"/>
          <w:b w:val="0"/>
          <w:color w:val="1A3C6E"/>
          <w:sz w:val="28"/>
        </w:rPr>
        <w:t>━━━━━━━━━━━━━━━━━━━━━━━━━━━━━━</w:t>
      </w:r>
    </w:p>
    <w:p>
      <w:pPr>
        <w:spacing w:after="1200" w:before="800"/>
        <w:jc w:val="center"/>
      </w:pPr>
      <w:r>
        <w:rPr>
          <w:rFonts w:ascii="微软雅黑" w:hAnsi="微软雅黑" w:eastAsia="微软雅黑"/>
          <w:b/>
          <w:color w:val="1A3C6E"/>
          <w:sz w:val="52"/>
        </w:rPr>
        <w:t>报 名 信 息 表</w:t>
      </w:r>
    </w:p>
    <w:p>
      <w:pPr>
        <w:spacing w:after="160" w:before="0"/>
        <w:jc w:val="center"/>
      </w:pPr>
      <w:r>
        <w:rPr>
          <w:rFonts w:ascii="微软雅黑" w:hAnsi="微软雅黑" w:eastAsia="微软雅黑"/>
          <w:b w:val="0"/>
          <w:color w:val="1A3C6E"/>
          <w:sz w:val="28"/>
        </w:rPr>
        <w:t>团队名称：智融先锋</w:t>
      </w:r>
    </w:p>
    <w:p>
      <w:pPr>
        <w:spacing w:after="160" w:before="0"/>
        <w:jc w:val="center"/>
      </w:pPr>
      <w:r>
        <w:rPr>
          <w:rFonts w:ascii="微软雅黑" w:hAnsi="微软雅黑" w:eastAsia="微软雅黑"/>
          <w:b w:val="0"/>
          <w:color w:val="1A3C6E"/>
          <w:sz w:val="28"/>
        </w:rPr>
        <w:t>项目名称：FinAgent Pro 金融自主智能体平台</w:t>
      </w:r>
    </w:p>
    <w:p>
      <w:pPr>
        <w:spacing w:after="1200" w:before="0"/>
        <w:jc w:val="center"/>
      </w:pPr>
      <w:r>
        <w:rPr>
          <w:rFonts w:ascii="微软雅黑" w:hAnsi="微软雅黑" w:eastAsia="微软雅黑"/>
          <w:b w:val="0"/>
          <w:color w:val="1A3C6E"/>
          <w:sz w:val="28"/>
        </w:rPr>
        <w:t>负责人：冯亦根</w:t>
      </w:r>
    </w:p>
    <w:p>
      <w:pPr>
        <w:spacing w:after="120" w:before="0"/>
        <w:jc w:val="center"/>
      </w:pPr>
      <w:r>
        <w:rPr>
          <w:rFonts w:ascii="微软雅黑" w:hAnsi="微软雅黑" w:eastAsia="微软雅黑"/>
          <w:b w:val="0"/>
          <w:color w:val="666666"/>
          <w:sz w:val="24"/>
        </w:rPr>
        <w:t>2026年6月</w:t>
      </w:r>
    </w:p>
    <w:p>
      <w:r>
        <w:br w:type="page"/>
      </w:r>
    </w:p>
    <w:p>
      <w:pPr>
        <w:spacing w:after="200" w:before="360"/>
        <w:jc w:val="left"/>
        <w:pBdr>
          <w:bottom w:val="single" w:sz="8" w:space="4" w:color="1A3C6E"/>
        </w:pBdr>
      </w:pPr>
      <w:r>
        <w:rPr>
          <w:rFonts w:ascii="微软雅黑" w:hAnsi="微软雅黑" w:eastAsia="微软雅黑"/>
          <w:b/>
          <w:color w:val="1A3C6E"/>
          <w:sz w:val="32"/>
        </w:rPr>
        <w:t>一、基本信息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2268"/>
            <w:shd w:fill="1A3C6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赛道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初创组</w:t>
            </w:r>
          </w:p>
        </w:tc>
      </w:tr>
      <w:tr>
        <w:tc>
          <w:tcPr>
            <w:tcW w:type="dxa" w:w="2268"/>
            <w:shd w:fill="1A3C6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方向</w:t>
            </w:r>
          </w:p>
        </w:tc>
        <w:tc>
          <w:tcPr>
            <w:tcW w:type="dxa" w:w="6803"/>
            <w:shd w:fill="EDF2F9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前沿技术 - 自主智能体（Agentic AI）</w:t>
            </w:r>
          </w:p>
        </w:tc>
      </w:tr>
      <w:tr>
        <w:tc>
          <w:tcPr>
            <w:tcW w:type="dxa" w:w="2268"/>
            <w:shd w:fill="1A3C6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项目名称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FinAgent Pro 金融自主智能体平台</w:t>
            </w:r>
          </w:p>
        </w:tc>
      </w:tr>
      <w:tr>
        <w:tc>
          <w:tcPr>
            <w:tcW w:type="dxa" w:w="2268"/>
            <w:shd w:fill="1A3C6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团队名称</w:t>
            </w:r>
          </w:p>
        </w:tc>
        <w:tc>
          <w:tcPr>
            <w:tcW w:type="dxa" w:w="6803"/>
            <w:shd w:fill="EDF2F9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智融先锋</w:t>
            </w:r>
          </w:p>
        </w:tc>
      </w:tr>
      <w:tr>
        <w:tc>
          <w:tcPr>
            <w:tcW w:type="dxa" w:w="2268"/>
            <w:shd w:fill="1A3C6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负责人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冯亦根</w:t>
            </w:r>
          </w:p>
        </w:tc>
      </w:tr>
      <w:tr>
        <w:tc>
          <w:tcPr>
            <w:tcW w:type="dxa" w:w="2268"/>
            <w:shd w:fill="1A3C6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学历</w:t>
            </w:r>
          </w:p>
        </w:tc>
        <w:tc>
          <w:tcPr>
            <w:tcW w:type="dxa" w:w="6803"/>
            <w:shd w:fill="EDF2F9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本科（浙江大学 计算机通信工程）</w:t>
            </w:r>
          </w:p>
        </w:tc>
      </w:tr>
      <w:tr>
        <w:tc>
          <w:tcPr>
            <w:tcW w:type="dxa" w:w="2268"/>
            <w:shd w:fill="1A3C6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单位名称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个人独立创业</w:t>
            </w:r>
          </w:p>
        </w:tc>
      </w:tr>
      <w:tr>
        <w:tc>
          <w:tcPr>
            <w:tcW w:type="dxa" w:w="2268"/>
            <w:shd w:fill="1A3C6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团队模式</w:t>
            </w:r>
          </w:p>
        </w:tc>
        <w:tc>
          <w:tcPr>
            <w:tcW w:type="dxa" w:w="6803"/>
            <w:shd w:fill="EDF2F9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OPC一人团队</w:t>
            </w:r>
          </w:p>
        </w:tc>
      </w:tr>
      <w:tr>
        <w:tc>
          <w:tcPr>
            <w:tcW w:type="dxa" w:w="2268"/>
            <w:shd w:fill="1A3C6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GitHub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https://github.com/yigenfeng0707-netizen/finagent-pro-afac2026</w:t>
            </w:r>
          </w:p>
        </w:tc>
      </w:tr>
    </w:tbl>
    <w:p/>
    <w:p>
      <w:pPr>
        <w:spacing w:after="200" w:before="360"/>
        <w:jc w:val="left"/>
        <w:pBdr>
          <w:bottom w:val="single" w:sz="8" w:space="4" w:color="1A3C6E"/>
        </w:pBdr>
      </w:pPr>
      <w:r>
        <w:rPr>
          <w:rFonts w:ascii="微软雅黑" w:hAnsi="微软雅黑" w:eastAsia="微软雅黑"/>
          <w:b/>
          <w:color w:val="1A3C6E"/>
          <w:sz w:val="32"/>
        </w:rPr>
        <w:t>二、项目简介（500字内）</w:t>
      </w:r>
    </w:p>
    <w:p>
      <w:pPr>
        <w:spacing w:after="120" w:line="400" w:lineRule="exact"/>
        <w:ind w:firstLine="420"/>
      </w:pPr>
      <w:r>
        <w:rPr>
          <w:rFonts w:ascii="微软雅黑" w:hAnsi="微软雅黑" w:eastAsia="微软雅黑"/>
          <w:b w:val="0"/>
          <w:sz w:val="21"/>
        </w:rPr>
        <w:t>FinAgent Pro解决金融行业三大核心痛点：一是分析师过劳，日均仅覆盖3-5只标的，研报撰写耗时4-6小时；二是风控滞后，80%风险事件事后才发现；三是现有AI工具被动响应，需人工提问才工作，无法主动发现机会和风险。</w:t>
      </w:r>
    </w:p>
    <w:p>
      <w:pPr>
        <w:spacing w:after="120" w:line="400" w:lineRule="exact"/>
        <w:ind w:firstLine="420"/>
      </w:pPr>
      <w:r>
        <w:rPr>
          <w:rFonts w:ascii="微软雅黑" w:hAnsi="微软雅黑" w:eastAsia="微软雅黑"/>
          <w:b w:val="0"/>
          <w:sz w:val="21"/>
        </w:rPr>
        <w:t>目标客户覆盖四类：券商研究所（研报撰写、标的跟踪）、基金公司（组合监控、风险预警）、银行理财（产品分析、合规审查）、个人投资者（智能投顾、市场解读）。</w:t>
      </w:r>
    </w:p>
    <w:p>
      <w:pPr>
        <w:spacing w:after="120" w:line="400" w:lineRule="exact"/>
        <w:ind w:firstLine="420"/>
      </w:pPr>
      <w:r>
        <w:rPr>
          <w:rFonts w:ascii="微软雅黑" w:hAnsi="微软雅黑" w:eastAsia="微软雅黑"/>
          <w:b w:val="0"/>
          <w:sz w:val="21"/>
        </w:rPr>
        <w:t>核心创新点：（1）ReAct推理引擎——每个智能体具备"思考→行动→观察"循环，真正自主推理；（2）持久记忆系统——工作记忆+情节记忆+语义记忆三层架构，让数字员工"记住"上下文和历史经验；（3）主动智能——定时巡检+事件驱动+阈值预警，推动金融服务从被动响应迈向主动智能；（4）合规内嵌——内置银保监会/证监会监管规则引擎，每步操作可审计可追溯；（5）多智能体协商——6大专业智能体（市场分析/新闻舆情/风控合规/投资策略/报告生成/执行监控）协同工作，加权协商生成最终建议；（6）思维链可视化——实时展示AI推理过程，让决策"看得见"。以国产大模型为基座，数据不出境，安全可信。</w:t>
      </w:r>
    </w:p>
    <w:p>
      <w:pPr>
        <w:spacing w:after="200" w:before="360"/>
        <w:jc w:val="left"/>
        <w:pBdr>
          <w:bottom w:val="single" w:sz="8" w:space="4" w:color="1A3C6E"/>
        </w:pBdr>
      </w:pPr>
      <w:r>
        <w:rPr>
          <w:rFonts w:ascii="微软雅黑" w:hAnsi="微软雅黑" w:eastAsia="微软雅黑"/>
          <w:b/>
          <w:color w:val="1A3C6E"/>
          <w:sz w:val="32"/>
        </w:rPr>
        <w:t>三、团队简介（200字内）</w:t>
      </w:r>
    </w:p>
    <w:p>
      <w:pPr>
        <w:spacing w:after="120" w:line="400" w:lineRule="exact"/>
        <w:ind w:firstLine="420"/>
      </w:pPr>
      <w:r>
        <w:rPr>
          <w:rFonts w:ascii="微软雅黑" w:hAnsi="微软雅黑" w:eastAsia="微软雅黑"/>
          <w:b w:val="0"/>
          <w:sz w:val="21"/>
        </w:rPr>
        <w:t>智融先锋由浙江大学计算机通信工程专业本科生冯亦根独立创立，是一支聚焦金融自主智能体（Agentic AI）的OPC一人团队。冯亦根兼具AI与通信工程复合背景，独立完成FinAgent Pro金融智能体平台从架构设计到全栈开发的全流程——涵盖ReAct推理引擎、三层记忆系统、6大专业智能体协同调度、合规规则引擎及Vue3前端，以一人之力构建了完整的金融数字员工系统。团队坚持"技术创新+合规内嵌"双轮驱动，以国产大模型为基座，打造安全可信的金融智能体平台，推动金融服务从被动响应迈向主动智能。一个人，一支队，以一当十。</w:t>
      </w:r>
    </w:p>
    <w:p>
      <w:pPr>
        <w:spacing w:after="200" w:before="360"/>
        <w:jc w:val="left"/>
        <w:pBdr>
          <w:bottom w:val="single" w:sz="8" w:space="4" w:color="1A3C6E"/>
        </w:pBdr>
      </w:pPr>
      <w:r>
        <w:rPr>
          <w:rFonts w:ascii="微软雅黑" w:hAnsi="微软雅黑" w:eastAsia="微软雅黑"/>
          <w:b/>
          <w:color w:val="1A3C6E"/>
          <w:sz w:val="32"/>
        </w:rPr>
        <w:t>四、目标客户群体（多选）</w:t>
      </w:r>
    </w:p>
    <w:p>
      <w:pPr>
        <w:spacing w:after="120"/>
      </w:pPr>
      <w:r>
        <w:rPr>
          <w:rFonts w:ascii="微软雅黑" w:hAnsi="微软雅黑" w:eastAsia="微软雅黑"/>
          <w:b/>
          <w:color w:val="1A3C6E"/>
          <w:sz w:val="22"/>
        </w:rPr>
        <w:t>已选：</w:t>
      </w:r>
      <w:r>
        <w:rPr>
          <w:rFonts w:ascii="微软雅黑" w:hAnsi="微软雅黑" w:eastAsia="微软雅黑"/>
          <w:b/>
          <w:color w:val="2B5C9E"/>
          <w:sz w:val="21"/>
        </w:rPr>
        <w:t xml:space="preserve">  [银行]  </w:t>
      </w:r>
      <w:r>
        <w:rPr>
          <w:rFonts w:ascii="微软雅黑" w:hAnsi="微软雅黑" w:eastAsia="微软雅黑"/>
          <w:b/>
          <w:color w:val="2B5C9E"/>
          <w:sz w:val="21"/>
        </w:rPr>
        <w:t xml:space="preserve">  [证券公司]  </w:t>
      </w:r>
      <w:r>
        <w:rPr>
          <w:rFonts w:ascii="微软雅黑" w:hAnsi="微软雅黑" w:eastAsia="微软雅黑"/>
          <w:b/>
          <w:color w:val="2B5C9E"/>
          <w:sz w:val="21"/>
        </w:rPr>
        <w:t xml:space="preserve">  [基金公司]  </w:t>
      </w:r>
      <w:r>
        <w:rPr>
          <w:rFonts w:ascii="微软雅黑" w:hAnsi="微软雅黑" w:eastAsia="微软雅黑"/>
          <w:b/>
          <w:color w:val="2B5C9E"/>
          <w:sz w:val="21"/>
        </w:rPr>
        <w:t xml:space="preserve">  [个人投资者]  </w:t>
      </w:r>
    </w:p>
    <w:p>
      <w:pPr>
        <w:spacing w:after="120" w:line="400" w:lineRule="exact"/>
        <w:ind w:firstLine="420"/>
      </w:pPr>
      <w:r>
        <w:rPr>
          <w:rFonts w:ascii="微软雅黑" w:hAnsi="微软雅黑" w:eastAsia="微软雅黑"/>
          <w:b w:val="0"/>
          <w:sz w:val="21"/>
        </w:rPr>
        <w:t>银行：财富管理部、资产管理部需要智能投研和合规审计；证券公司：最直接客户，需要市场分析、交易信号、风控合规；基金公司：组合分析、风险评估、投资策略生成；个人投资者：C端产品方向，降低专业投资门槛。</w:t>
      </w:r>
    </w:p>
    <w:p>
      <w:pPr>
        <w:spacing w:after="200" w:before="360"/>
        <w:jc w:val="left"/>
        <w:pBdr>
          <w:bottom w:val="single" w:sz="8" w:space="4" w:color="1A3C6E"/>
        </w:pBdr>
      </w:pPr>
      <w:r>
        <w:rPr>
          <w:rFonts w:ascii="微软雅黑" w:hAnsi="微软雅黑" w:eastAsia="微软雅黑"/>
          <w:b/>
          <w:color w:val="1A3C6E"/>
          <w:sz w:val="32"/>
        </w:rPr>
        <w:t>五、预计市场规模（年）</w:t>
      </w:r>
    </w:p>
    <w:p>
      <w:pPr>
        <w:spacing w:after="120"/>
      </w:pPr>
      <w:r>
        <w:rPr>
          <w:rFonts w:ascii="微软雅黑" w:hAnsi="微软雅黑" w:eastAsia="微软雅黑"/>
          <w:b/>
          <w:color w:val="1A3C6E"/>
          <w:sz w:val="22"/>
        </w:rPr>
        <w:t>已选：</w:t>
      </w:r>
      <w:r>
        <w:rPr>
          <w:rFonts w:ascii="微软雅黑" w:hAnsi="微软雅黑" w:eastAsia="微软雅黑"/>
          <w:b/>
          <w:color w:val="2B5C9E"/>
          <w:sz w:val="21"/>
        </w:rPr>
        <w:t xml:space="preserve">  [&gt;10亿元]  </w:t>
      </w:r>
    </w:p>
    <w:p>
      <w:pPr>
        <w:spacing w:after="120" w:line="400" w:lineRule="exact"/>
        <w:ind w:firstLine="420"/>
      </w:pPr>
      <w:r>
        <w:rPr>
          <w:rFonts w:ascii="微软雅黑" w:hAnsi="微软雅黑" w:eastAsia="微软雅黑"/>
          <w:b w:val="0"/>
          <w:sz w:val="21"/>
        </w:rPr>
        <w:t>中国AI+金融市场2026年预计超千亿规模，金融自主智能体是核心增长赛道。B端：100+证券公司×100-500万/年 + 150+基金公司×100-300万/年 + 数千家银行财富管理部×50-200万/年，仅B端就超10亿。C端：数千万A股个人投资者，订阅制/SaaS模式潜力巨大。</w:t>
      </w:r>
    </w:p>
    <w:p>
      <w:pPr>
        <w:spacing w:after="200" w:before="360"/>
        <w:jc w:val="left"/>
        <w:pBdr>
          <w:bottom w:val="single" w:sz="8" w:space="4" w:color="1A3C6E"/>
        </w:pBdr>
      </w:pPr>
      <w:r>
        <w:rPr>
          <w:rFonts w:ascii="微软雅黑" w:hAnsi="微软雅黑" w:eastAsia="微软雅黑"/>
          <w:b/>
          <w:color w:val="1A3C6E"/>
          <w:sz w:val="32"/>
        </w:rPr>
        <w:t>六、主要收入模式（多选）</w:t>
      </w:r>
    </w:p>
    <w:p>
      <w:pPr>
        <w:spacing w:after="120"/>
      </w:pPr>
      <w:r>
        <w:rPr>
          <w:rFonts w:ascii="微软雅黑" w:hAnsi="微软雅黑" w:eastAsia="微软雅黑"/>
          <w:b/>
          <w:color w:val="1A3C6E"/>
          <w:sz w:val="22"/>
        </w:rPr>
        <w:t>已选：</w:t>
      </w:r>
      <w:r>
        <w:rPr>
          <w:rFonts w:ascii="微软雅黑" w:hAnsi="微软雅黑" w:eastAsia="微软雅黑"/>
          <w:b/>
          <w:color w:val="2B5C9E"/>
          <w:sz w:val="21"/>
        </w:rPr>
        <w:t xml:space="preserve">  [软件订阅]  </w:t>
      </w:r>
      <w:r>
        <w:rPr>
          <w:rFonts w:ascii="微软雅黑" w:hAnsi="微软雅黑" w:eastAsia="微软雅黑"/>
          <w:b/>
          <w:color w:val="2B5C9E"/>
          <w:sz w:val="21"/>
        </w:rPr>
        <w:t xml:space="preserve">  [技术服务费]  </w:t>
      </w:r>
      <w:r>
        <w:rPr>
          <w:rFonts w:ascii="微软雅黑" w:hAnsi="微软雅黑" w:eastAsia="微软雅黑"/>
          <w:b/>
          <w:color w:val="2B5C9E"/>
          <w:sz w:val="21"/>
        </w:rPr>
        <w:t xml:space="preserve">  [数据服务]  </w:t>
      </w:r>
    </w:p>
    <w:p>
      <w:pPr>
        <w:spacing w:after="120" w:line="400" w:lineRule="exact"/>
        <w:ind w:firstLine="420"/>
      </w:pPr>
      <w:r>
        <w:rPr>
          <w:rFonts w:ascii="微软雅黑" w:hAnsi="微软雅黑" w:eastAsia="微软雅黑"/>
          <w:b w:val="0"/>
          <w:sz w:val="21"/>
        </w:rPr>
        <w:t>软件订阅：核心模式，SaaS按年/按席位收费，B端稳定现金流，C端会员订阅；技术服务费：金融机构定制化部署、私有化适配、系统集成，单项目几十万起；数据服务：智能体产出的投研报告、风控数据、舆情指标作为数据产品出售。</w:t>
      </w:r>
    </w:p>
    <w:p>
      <w:pPr>
        <w:spacing w:after="200" w:before="360"/>
        <w:jc w:val="left"/>
        <w:pBdr>
          <w:bottom w:val="single" w:sz="8" w:space="4" w:color="1A3C6E"/>
        </w:pBdr>
      </w:pPr>
      <w:r>
        <w:rPr>
          <w:rFonts w:ascii="微软雅黑" w:hAnsi="微软雅黑" w:eastAsia="微软雅黑"/>
          <w:b/>
          <w:color w:val="1A3C6E"/>
          <w:sz w:val="32"/>
        </w:rPr>
        <w:t>七、项目解决的主要痛点（多选）</w:t>
      </w:r>
    </w:p>
    <w:p>
      <w:pPr>
        <w:spacing w:after="120"/>
      </w:pPr>
      <w:r>
        <w:rPr>
          <w:rFonts w:ascii="微软雅黑" w:hAnsi="微软雅黑" w:eastAsia="微软雅黑"/>
          <w:b/>
          <w:color w:val="1A3C6E"/>
          <w:sz w:val="22"/>
        </w:rPr>
        <w:t>已选：</w:t>
      </w:r>
      <w:r>
        <w:rPr>
          <w:rFonts w:ascii="微软雅黑" w:hAnsi="微软雅黑" w:eastAsia="微软雅黑"/>
          <w:b/>
          <w:color w:val="2B5C9E"/>
          <w:sz w:val="21"/>
        </w:rPr>
        <w:t xml:space="preserve">  [信息孤岛]  </w:t>
      </w:r>
      <w:r>
        <w:rPr>
          <w:rFonts w:ascii="微软雅黑" w:hAnsi="微软雅黑" w:eastAsia="微软雅黑"/>
          <w:b/>
          <w:color w:val="2B5C9E"/>
          <w:sz w:val="21"/>
        </w:rPr>
        <w:t xml:space="preserve">  [合规风险]  </w:t>
      </w:r>
      <w:r>
        <w:rPr>
          <w:rFonts w:ascii="微软雅黑" w:hAnsi="微软雅黑" w:eastAsia="微软雅黑"/>
          <w:b/>
          <w:color w:val="2B5C9E"/>
          <w:sz w:val="21"/>
        </w:rPr>
        <w:t xml:space="preserve">  [效率低下]  </w:t>
      </w:r>
      <w:r>
        <w:rPr>
          <w:rFonts w:ascii="微软雅黑" w:hAnsi="微软雅黑" w:eastAsia="微软雅黑"/>
          <w:b/>
          <w:color w:val="2B5C9E"/>
          <w:sz w:val="21"/>
        </w:rPr>
        <w:t xml:space="preserve">  [决策黑盒]  </w:t>
      </w:r>
    </w:p>
    <w:p>
      <w:pPr>
        <w:spacing w:after="120" w:line="400" w:lineRule="exact"/>
        <w:ind w:firstLine="420"/>
      </w:pPr>
      <w:r>
        <w:rPr>
          <w:rFonts w:ascii="微软雅黑" w:hAnsi="微软雅黑" w:eastAsia="微软雅黑"/>
          <w:b w:val="0"/>
          <w:sz w:val="21"/>
        </w:rPr>
        <w:t>信息孤岛：市场数据、新闻舆情、风控合规分散在不同系统，FinAgent Pro通过6大智能体协同打通信息壁垒；合规风险：AI决策过程不透明，难以满足监管审计要求，合规规则引擎确保每步可追溯；效率低下：分析师日均仅覆盖3-5只标的，数字员工7×24小时全市场扫描；决策黑盒：思维链可视化让AI推理过程实时可见，黑盒变白盒。</w:t>
      </w:r>
    </w:p>
    <w:p>
      <w:pPr>
        <w:spacing w:after="200" w:before="360"/>
        <w:jc w:val="left"/>
        <w:pBdr>
          <w:bottom w:val="single" w:sz="8" w:space="4" w:color="1A3C6E"/>
        </w:pBdr>
      </w:pPr>
      <w:r>
        <w:rPr>
          <w:rFonts w:ascii="微软雅黑" w:hAnsi="微软雅黑" w:eastAsia="微软雅黑"/>
          <w:b/>
          <w:color w:val="1A3C6E"/>
          <w:sz w:val="32"/>
        </w:rPr>
        <w:t>八、与现有解决方案相比最大优势（多选）</w:t>
      </w:r>
    </w:p>
    <w:p>
      <w:pPr>
        <w:spacing w:after="120"/>
      </w:pPr>
      <w:r>
        <w:rPr>
          <w:rFonts w:ascii="微软雅黑" w:hAnsi="微软雅黑" w:eastAsia="微软雅黑"/>
          <w:b/>
          <w:color w:val="1A3C6E"/>
          <w:sz w:val="22"/>
        </w:rPr>
        <w:t>已选：</w:t>
      </w:r>
      <w:r>
        <w:rPr>
          <w:rFonts w:ascii="微软雅黑" w:hAnsi="微软雅黑" w:eastAsia="微软雅黑"/>
          <w:b/>
          <w:color w:val="2B5C9E"/>
          <w:sz w:val="21"/>
        </w:rPr>
        <w:t xml:space="preserve">  [技术创新]  </w:t>
      </w:r>
      <w:r>
        <w:rPr>
          <w:rFonts w:ascii="微软雅黑" w:hAnsi="微软雅黑" w:eastAsia="微软雅黑"/>
          <w:b/>
          <w:color w:val="2B5C9E"/>
          <w:sz w:val="21"/>
        </w:rPr>
        <w:t xml:space="preserve">  [合规内嵌]  </w:t>
      </w:r>
      <w:r>
        <w:rPr>
          <w:rFonts w:ascii="微软雅黑" w:hAnsi="微软雅黑" w:eastAsia="微软雅黑"/>
          <w:b/>
          <w:color w:val="2B5C9E"/>
          <w:sz w:val="21"/>
        </w:rPr>
        <w:t xml:space="preserve">  [主动智能]  </w:t>
      </w:r>
      <w:r>
        <w:rPr>
          <w:rFonts w:ascii="微软雅黑" w:hAnsi="微软雅黑" w:eastAsia="微软雅黑"/>
          <w:b/>
          <w:color w:val="2B5C9E"/>
          <w:sz w:val="21"/>
        </w:rPr>
        <w:t xml:space="preserve">  [国产自主]  </w:t>
      </w:r>
    </w:p>
    <w:p>
      <w:pPr>
        <w:spacing w:after="120" w:line="400" w:lineRule="exact"/>
        <w:ind w:firstLine="420"/>
      </w:pPr>
      <w:r>
        <w:rPr>
          <w:rFonts w:ascii="微软雅黑" w:hAnsi="微软雅黑" w:eastAsia="微软雅黑"/>
          <w:b w:val="0"/>
          <w:sz w:val="21"/>
        </w:rPr>
        <w:t>技术创新：ReAct推理引擎+三层记忆+多智能体协商，三层架构是技术护城河；合规内嵌：规则引擎+审计中间件，金融机构采购的硬性准入壁垒；主动智能：定时巡检+事件驱动+阈值预警，从被动响应到主动服务的体验壁垒；国产自主：GLM-5.1/DeepSeek/SenseNova国产大模型基座，数据不出境，安全可信。</w:t>
      </w:r>
    </w:p>
    <w:p>
      <w:pPr>
        <w:spacing w:after="200" w:before="360"/>
        <w:jc w:val="left"/>
        <w:pBdr>
          <w:bottom w:val="single" w:sz="8" w:space="4" w:color="1A3C6E"/>
        </w:pBdr>
      </w:pPr>
      <w:r>
        <w:rPr>
          <w:rFonts w:ascii="微软雅黑" w:hAnsi="微软雅黑" w:eastAsia="微软雅黑"/>
          <w:b/>
          <w:color w:val="1A3C6E"/>
          <w:sz w:val="32"/>
        </w:rPr>
        <w:t>九、市场竞争分析</w:t>
      </w:r>
    </w:p>
    <w:p>
      <w:pPr>
        <w:spacing w:after="120" w:line="400" w:lineRule="exact"/>
        <w:ind w:firstLine="420"/>
      </w:pPr>
      <w:r>
        <w:rPr>
          <w:rFonts w:ascii="微软雅黑" w:hAnsi="微软雅黑" w:eastAsia="微软雅黑"/>
          <w:b w:val="0"/>
          <w:sz w:val="21"/>
        </w:rPr>
        <w:t>当前金融智能体市场主要有三类竞争者：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1701"/>
            <w:shd w:fill="1A3C6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竞争者</w:t>
            </w:r>
          </w:p>
        </w:tc>
        <w:tc>
          <w:tcPr>
            <w:tcW w:type="dxa" w:w="1984"/>
            <w:shd w:fill="1A3C6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优势</w:t>
            </w:r>
          </w:p>
        </w:tc>
        <w:tc>
          <w:tcPr>
            <w:tcW w:type="dxa" w:w="1984"/>
            <w:shd w:fill="1A3C6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劣势</w:t>
            </w:r>
          </w:p>
        </w:tc>
        <w:tc>
          <w:tcPr>
            <w:tcW w:type="dxa" w:w="2835"/>
            <w:shd w:fill="1A3C6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FinAgent Pro差异化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1"/>
              </w:rPr>
              <w:t>传统金融终端</w:t>
              <w:br/>
              <w:t>(同花顺/Wind)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数据覆盖广</w:t>
              <w:br/>
              <w:t>用户基数大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被动工具</w:t>
              <w:br/>
              <w:t>AI能力薄弱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主动智能体替代被动工具</w:t>
              <w:br/>
              <w:t>从人找数据到数据找人</w:t>
            </w:r>
          </w:p>
        </w:tc>
      </w:tr>
      <w:tr>
        <w:tc>
          <w:tcPr>
            <w:tcW w:type="dxa" w:w="1701"/>
            <w:shd w:fill="EDF2F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1"/>
              </w:rPr>
              <w:t>通用AI平台</w:t>
              <w:br/>
              <w:t>(文心/通义/GLM)</w:t>
            </w:r>
          </w:p>
        </w:tc>
        <w:tc>
          <w:tcPr>
            <w:tcW w:type="dxa" w:w="1984"/>
            <w:shd w:fill="EDF2F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大模型能力强</w:t>
              <w:br/>
              <w:t>算力资源丰富</w:t>
            </w:r>
          </w:p>
        </w:tc>
        <w:tc>
          <w:tcPr>
            <w:tcW w:type="dxa" w:w="1984"/>
            <w:shd w:fill="EDF2F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缺乏金融垂直深度</w:t>
              <w:br/>
              <w:t>无合规引擎</w:t>
            </w:r>
          </w:p>
        </w:tc>
        <w:tc>
          <w:tcPr>
            <w:tcW w:type="dxa" w:w="2835"/>
            <w:shd w:fill="EDF2F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金融垂直深度定制</w:t>
              <w:br/>
              <w:t>6智能体协同+合规内嵌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1"/>
              </w:rPr>
              <w:t>海外金融AI</w:t>
              <w:br/>
              <w:t>(Bloomberg GPT)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技术成熟</w:t>
              <w:br/>
              <w:t>海外验证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不支持A股</w:t>
              <w:br/>
              <w:t>数据出境风险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国产基座+A股数据</w:t>
              <w:br/>
              <w:t>中文NLP+合规引擎</w:t>
            </w:r>
          </w:p>
        </w:tc>
      </w:tr>
    </w:tbl>
    <w:p/>
    <w:p>
      <w:pPr>
        <w:spacing w:after="120" w:line="400" w:lineRule="exact"/>
        <w:ind w:firstLine="420"/>
      </w:pPr>
      <w:r>
        <w:rPr>
          <w:rFonts w:ascii="微软雅黑" w:hAnsi="微软雅黑" w:eastAsia="微软雅黑"/>
          <w:b w:val="0"/>
          <w:sz w:val="21"/>
        </w:rPr>
        <w:t>FinAgent Pro的核心竞争壁垒：（1）技术护城河：三层架构（智能体引擎+协同调度+主动智能），竞品仅做到单层；（2）准入壁垒：合规内嵌是金融机构采购的硬性要求；（3）体验壁垒：主动智能让用户一旦习惯就难以回到被动模式。</w:t>
      </w:r>
    </w:p>
    <w:p>
      <w:pPr>
        <w:spacing w:after="200" w:before="360"/>
        <w:jc w:val="left"/>
        <w:pBdr>
          <w:bottom w:val="single" w:sz="8" w:space="4" w:color="1A3C6E"/>
        </w:pBdr>
      </w:pPr>
      <w:r>
        <w:rPr>
          <w:rFonts w:ascii="微软雅黑" w:hAnsi="微软雅黑" w:eastAsia="微软雅黑"/>
          <w:b/>
          <w:color w:val="1A3C6E"/>
          <w:sz w:val="32"/>
        </w:rPr>
        <w:t>十、核心技术与创新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1701"/>
            <w:shd w:fill="1A3C6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技术领域</w:t>
            </w:r>
          </w:p>
        </w:tc>
        <w:tc>
          <w:tcPr>
            <w:tcW w:type="dxa" w:w="2551"/>
            <w:shd w:fill="1A3C6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核心技术</w:t>
            </w:r>
          </w:p>
        </w:tc>
        <w:tc>
          <w:tcPr>
            <w:tcW w:type="dxa" w:w="4535"/>
            <w:shd w:fill="1A3C6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关键能力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1"/>
              </w:rPr>
              <w:t>大语言模型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ReAct推理引擎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Thought-Action-Observation自主推理循环</w:t>
            </w:r>
          </w:p>
        </w:tc>
      </w:tr>
      <w:tr>
        <w:tc>
          <w:tcPr>
            <w:tcW w:type="dxa" w:w="1701"/>
            <w:shd w:fill="EDF2F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1"/>
              </w:rPr>
              <w:t>多智能体协同</w:t>
            </w:r>
          </w:p>
        </w:tc>
        <w:tc>
          <w:tcPr>
            <w:tcW w:type="dxa" w:w="2551"/>
            <w:shd w:fill="EDF2F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Master Orchestrator</w:t>
            </w:r>
          </w:p>
        </w:tc>
        <w:tc>
          <w:tcPr>
            <w:tcW w:type="dxa" w:w="4535"/>
            <w:shd w:fill="EDF2F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三阶段流水线+加权协商+LLM增强推理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1"/>
              </w:rPr>
              <w:t>记忆系统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三层记忆架构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工作记忆+情节记忆+语义记忆</w:t>
            </w:r>
          </w:p>
        </w:tc>
      </w:tr>
      <w:tr>
        <w:tc>
          <w:tcPr>
            <w:tcW w:type="dxa" w:w="1701"/>
            <w:shd w:fill="EDF2F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1"/>
              </w:rPr>
              <w:t>主动智能</w:t>
            </w:r>
          </w:p>
        </w:tc>
        <w:tc>
          <w:tcPr>
            <w:tcW w:type="dxa" w:w="2551"/>
            <w:shd w:fill="EDF2F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APScheduler+WebSocket</w:t>
            </w:r>
          </w:p>
        </w:tc>
        <w:tc>
          <w:tcPr>
            <w:tcW w:type="dxa" w:w="4535"/>
            <w:shd w:fill="EDF2F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定时巡检+事件驱动+阈值预警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1"/>
              </w:rPr>
              <w:t>合规引擎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规则引擎+审计中间件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四维风控+合规约束+全链路审计</w:t>
            </w:r>
          </w:p>
        </w:tc>
      </w:tr>
      <w:tr>
        <w:tc>
          <w:tcPr>
            <w:tcW w:type="dxa" w:w="1701"/>
            <w:shd w:fill="EDF2F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1"/>
              </w:rPr>
              <w:t>金融计算</w:t>
            </w:r>
          </w:p>
        </w:tc>
        <w:tc>
          <w:tcPr>
            <w:tcW w:type="dxa" w:w="2551"/>
            <w:shd w:fill="EDF2F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AKShare+ta-lib</w:t>
            </w:r>
          </w:p>
        </w:tc>
        <w:tc>
          <w:tcPr>
            <w:tcW w:type="dxa" w:w="4535"/>
            <w:shd w:fill="EDF2F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A股行情+技术指标+VaR风险计算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1"/>
              </w:rPr>
              <w:t>工程架构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FastAPI+Vue3+Docker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异步API+暗色主题+容器化部署</w:t>
            </w:r>
          </w:p>
        </w:tc>
      </w:tr>
    </w:tbl>
    <w:p/>
    <w:p>
      <w:pPr>
        <w:spacing w:after="200" w:before="360"/>
        <w:jc w:val="left"/>
        <w:pBdr>
          <w:bottom w:val="single" w:sz="8" w:space="4" w:color="1A3C6E"/>
        </w:pBdr>
      </w:pPr>
      <w:r>
        <w:rPr>
          <w:rFonts w:ascii="微软雅黑" w:hAnsi="微软雅黑" w:eastAsia="微软雅黑"/>
          <w:b/>
          <w:color w:val="1A3C6E"/>
          <w:sz w:val="32"/>
        </w:rPr>
        <w:t>十一、参赛期望（多选）</w:t>
      </w:r>
    </w:p>
    <w:p>
      <w:pPr>
        <w:spacing w:after="120"/>
      </w:pPr>
      <w:r>
        <w:rPr>
          <w:rFonts w:ascii="微软雅黑" w:hAnsi="微软雅黑" w:eastAsia="微软雅黑"/>
          <w:b/>
          <w:color w:val="1A3C6E"/>
          <w:sz w:val="22"/>
        </w:rPr>
        <w:t>已选：</w:t>
      </w:r>
      <w:r>
        <w:rPr>
          <w:rFonts w:ascii="微软雅黑" w:hAnsi="微软雅黑" w:eastAsia="微软雅黑"/>
          <w:b/>
          <w:color w:val="2B5C9E"/>
          <w:sz w:val="21"/>
        </w:rPr>
        <w:t xml:space="preserve">  [行业认可]  </w:t>
      </w:r>
      <w:r>
        <w:rPr>
          <w:rFonts w:ascii="微软雅黑" w:hAnsi="微软雅黑" w:eastAsia="微软雅黑"/>
          <w:b/>
          <w:color w:val="2B5C9E"/>
          <w:sz w:val="21"/>
        </w:rPr>
        <w:t xml:space="preserve">  [投资机会]  </w:t>
      </w:r>
      <w:r>
        <w:rPr>
          <w:rFonts w:ascii="微软雅黑" w:hAnsi="微软雅黑" w:eastAsia="微软雅黑"/>
          <w:b/>
          <w:color w:val="2B5C9E"/>
          <w:sz w:val="21"/>
        </w:rPr>
        <w:t xml:space="preserve">  [业务合作]  </w:t>
      </w:r>
      <w:r>
        <w:rPr>
          <w:rFonts w:ascii="微软雅黑" w:hAnsi="微软雅黑" w:eastAsia="微软雅黑"/>
          <w:b/>
          <w:color w:val="2B5C9E"/>
          <w:sz w:val="21"/>
        </w:rPr>
        <w:t xml:space="preserve">  [专家指导]  </w:t>
      </w:r>
    </w:p>
    <w:p>
      <w:pPr>
        <w:spacing w:after="120" w:line="400" w:lineRule="exact"/>
        <w:ind w:firstLine="420"/>
      </w:pPr>
      <w:r>
        <w:rPr>
          <w:rFonts w:ascii="微软雅黑" w:hAnsi="微软雅黑" w:eastAsia="微软雅黑"/>
          <w:b w:val="0"/>
          <w:sz w:val="21"/>
        </w:rPr>
        <w:t>行业认可：AFAC是蚂蚁集团主办，获奖即获金融科技领域背书；投资机会：大赛对接蚂蚁战投、红杉等头部机构，是融资快车道；业务合作：蚂蚁生态内金融机构资源，B端客户对接效率高10倍；专家指导：蚂蚁技术专家1对1辅导，对产品打磨和商业模式优化价值极大。</w:t>
      </w:r>
    </w:p>
    <w:p>
      <w:pPr>
        <w:spacing w:after="200" w:before="360"/>
        <w:jc w:val="left"/>
        <w:pBdr>
          <w:bottom w:val="single" w:sz="8" w:space="4" w:color="1A3C6E"/>
        </w:pBdr>
      </w:pPr>
      <w:r>
        <w:rPr>
          <w:rFonts w:ascii="微软雅黑" w:hAnsi="微软雅黑" w:eastAsia="微软雅黑"/>
          <w:b/>
          <w:color w:val="1A3C6E"/>
          <w:sz w:val="32"/>
        </w:rPr>
        <w:t>十二、项目Demo材料清单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268"/>
            <w:shd w:fill="1A3C6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材料项</w:t>
            </w:r>
          </w:p>
        </w:tc>
        <w:tc>
          <w:tcPr>
            <w:tcW w:type="dxa" w:w="1984"/>
            <w:shd w:fill="1A3C6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类型</w:t>
            </w:r>
          </w:p>
        </w:tc>
        <w:tc>
          <w:tcPr>
            <w:tcW w:type="dxa" w:w="4535"/>
            <w:shd w:fill="1A3C6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文件/链接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1"/>
              </w:rPr>
              <w:t>a.可运行产品原型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网页/App/小程序/文件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GitHub: https://github.com/yigenfeng0707-netizen/finagent-pro-afac2026</w:t>
              <w:br/>
              <w:t>本地部署: 前端localhost:3000 + 后端localhost:8000</w:t>
            </w:r>
          </w:p>
        </w:tc>
      </w:tr>
      <w:tr>
        <w:tc>
          <w:tcPr>
            <w:tcW w:type="dxa" w:w="2268"/>
            <w:shd w:fill="EDF2F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1"/>
              </w:rPr>
              <w:t>b.3分钟功能演示视频</w:t>
            </w:r>
          </w:p>
        </w:tc>
        <w:tc>
          <w:tcPr>
            <w:tcW w:type="dxa" w:w="1984"/>
            <w:shd w:fill="EDF2F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视频格式/链接</w:t>
            </w:r>
          </w:p>
        </w:tc>
        <w:tc>
          <w:tcPr>
            <w:tcW w:type="dxa" w:w="4535"/>
            <w:shd w:fill="EDF2F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待录制（按DemoScript.md脚本操作录屏）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1"/>
              </w:rPr>
              <w:t>c.高保真交互设计图/逻辑流程图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图片/PDF/链接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FinAgentPro交互设计与流程图.docx</w:t>
              <w:br/>
              <w:t>含4个页面原型+5个系统流程图</w:t>
            </w:r>
          </w:p>
        </w:tc>
      </w:tr>
      <w:tr>
        <w:tc>
          <w:tcPr>
            <w:tcW w:type="dxa" w:w="2268"/>
            <w:shd w:fill="EDF2F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1"/>
              </w:rPr>
              <w:t>d.MVP/POC实验数据</w:t>
            </w:r>
          </w:p>
        </w:tc>
        <w:tc>
          <w:tcPr>
            <w:tcW w:type="dxa" w:w="1984"/>
            <w:shd w:fill="EDF2F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文档/PDF/链接</w:t>
            </w:r>
          </w:p>
        </w:tc>
        <w:tc>
          <w:tcPr>
            <w:tcW w:type="dxa" w:w="4535"/>
            <w:shd w:fill="EDF2F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FinAgentPro_MVP_POC实验数据.docx</w:t>
              <w:br/>
              <w:t>含8项KPI+5项功能实验+性能基准</w:t>
            </w:r>
          </w:p>
        </w:tc>
      </w:tr>
    </w:tbl>
    <w:p/>
    <w:p>
      <w:pPr>
        <w:spacing w:after="200" w:before="360"/>
        <w:jc w:val="left"/>
        <w:pBdr>
          <w:bottom w:val="single" w:sz="8" w:space="4" w:color="1A3C6E"/>
        </w:pBdr>
      </w:pPr>
      <w:r>
        <w:rPr>
          <w:rFonts w:ascii="微软雅黑" w:hAnsi="微软雅黑" w:eastAsia="微软雅黑"/>
          <w:b/>
          <w:color w:val="1A3C6E"/>
          <w:sz w:val="32"/>
        </w:rPr>
        <w:t>十三、提交制品清单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1134"/>
            <w:shd w:fill="1A3C6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序号</w:t>
            </w:r>
          </w:p>
        </w:tc>
        <w:tc>
          <w:tcPr>
            <w:tcW w:type="dxa" w:w="2835"/>
            <w:shd w:fill="1A3C6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材料名称</w:t>
            </w:r>
          </w:p>
        </w:tc>
        <w:tc>
          <w:tcPr>
            <w:tcW w:type="dxa" w:w="5102"/>
            <w:shd w:fill="1A3C6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文件名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1"/>
              </w:rPr>
              <w:t>1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项目申报书</w:t>
            </w:r>
          </w:p>
        </w:tc>
        <w:tc>
          <w:tcPr>
            <w:tcW w:type="dxa" w:w="510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FinAgentPro项目申报书.docx</w:t>
            </w:r>
          </w:p>
        </w:tc>
      </w:tr>
      <w:tr>
        <w:tc>
          <w:tcPr>
            <w:tcW w:type="dxa" w:w="1134"/>
            <w:shd w:fill="EDF2F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1"/>
              </w:rPr>
              <w:t>2</w:t>
            </w:r>
          </w:p>
        </w:tc>
        <w:tc>
          <w:tcPr>
            <w:tcW w:type="dxa" w:w="2835"/>
            <w:shd w:fill="EDF2F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商业计划书</w:t>
            </w:r>
          </w:p>
        </w:tc>
        <w:tc>
          <w:tcPr>
            <w:tcW w:type="dxa" w:w="5102"/>
            <w:shd w:fill="EDF2F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FinAgentPro商业计划书.docx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1"/>
              </w:rPr>
              <w:t>3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技术方案</w:t>
            </w:r>
          </w:p>
        </w:tc>
        <w:tc>
          <w:tcPr>
            <w:tcW w:type="dxa" w:w="510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FinAgentPro技术方案.docx</w:t>
            </w:r>
          </w:p>
        </w:tc>
      </w:tr>
      <w:tr>
        <w:tc>
          <w:tcPr>
            <w:tcW w:type="dxa" w:w="1134"/>
            <w:shd w:fill="EDF2F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1"/>
              </w:rPr>
              <w:t>4</w:t>
            </w:r>
          </w:p>
        </w:tc>
        <w:tc>
          <w:tcPr>
            <w:tcW w:type="dxa" w:w="2835"/>
            <w:shd w:fill="EDF2F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路演PPT</w:t>
            </w:r>
          </w:p>
        </w:tc>
        <w:tc>
          <w:tcPr>
            <w:tcW w:type="dxa" w:w="5102"/>
            <w:shd w:fill="EDF2F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FinAgentPro路演PPT.pptx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1"/>
              </w:rPr>
              <w:t>5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用户手册</w:t>
            </w:r>
          </w:p>
        </w:tc>
        <w:tc>
          <w:tcPr>
            <w:tcW w:type="dxa" w:w="510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FinAgentPro用户使用手册.docx</w:t>
            </w:r>
          </w:p>
        </w:tc>
      </w:tr>
      <w:tr>
        <w:tc>
          <w:tcPr>
            <w:tcW w:type="dxa" w:w="1134"/>
            <w:shd w:fill="EDF2F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1"/>
              </w:rPr>
              <w:t>6</w:t>
            </w:r>
          </w:p>
        </w:tc>
        <w:tc>
          <w:tcPr>
            <w:tcW w:type="dxa" w:w="2835"/>
            <w:shd w:fill="EDF2F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解决方案描述</w:t>
            </w:r>
          </w:p>
        </w:tc>
        <w:tc>
          <w:tcPr>
            <w:tcW w:type="dxa" w:w="5102"/>
            <w:shd w:fill="EDF2F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FinAgentPro解决方案描述.docx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1"/>
              </w:rPr>
              <w:t>7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市场竞争分析</w:t>
            </w:r>
          </w:p>
        </w:tc>
        <w:tc>
          <w:tcPr>
            <w:tcW w:type="dxa" w:w="510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FinAgentPro市场竞争分析.docx</w:t>
            </w:r>
          </w:p>
        </w:tc>
      </w:tr>
      <w:tr>
        <w:tc>
          <w:tcPr>
            <w:tcW w:type="dxa" w:w="1134"/>
            <w:shd w:fill="EDF2F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1"/>
              </w:rPr>
              <w:t>8</w:t>
            </w:r>
          </w:p>
        </w:tc>
        <w:tc>
          <w:tcPr>
            <w:tcW w:type="dxa" w:w="2835"/>
            <w:shd w:fill="EDF2F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核心技术</w:t>
            </w:r>
          </w:p>
        </w:tc>
        <w:tc>
          <w:tcPr>
            <w:tcW w:type="dxa" w:w="5102"/>
            <w:shd w:fill="EDF2F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FinAgentPro核心技术.docx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1"/>
              </w:rPr>
              <w:t>9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交互设计与流程图</w:t>
            </w:r>
          </w:p>
        </w:tc>
        <w:tc>
          <w:tcPr>
            <w:tcW w:type="dxa" w:w="510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FinAgentPro交互设计与流程图.docx</w:t>
            </w:r>
          </w:p>
        </w:tc>
      </w:tr>
      <w:tr>
        <w:tc>
          <w:tcPr>
            <w:tcW w:type="dxa" w:w="1134"/>
            <w:shd w:fill="EDF2F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1"/>
              </w:rPr>
              <w:t>10</w:t>
            </w:r>
          </w:p>
        </w:tc>
        <w:tc>
          <w:tcPr>
            <w:tcW w:type="dxa" w:w="2835"/>
            <w:shd w:fill="EDF2F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MVP/POC实验数据</w:t>
            </w:r>
          </w:p>
        </w:tc>
        <w:tc>
          <w:tcPr>
            <w:tcW w:type="dxa" w:w="5102"/>
            <w:shd w:fill="EDF2F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FinAgentPro_MVP_POC实验数据.docx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1"/>
              </w:rPr>
              <w:t>11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报名信息表</w:t>
            </w:r>
          </w:p>
        </w:tc>
        <w:tc>
          <w:tcPr>
            <w:tcW w:type="dxa" w:w="510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AFAC2026报名信息表.docx</w:t>
            </w:r>
          </w:p>
        </w:tc>
      </w:tr>
      <w:tr>
        <w:tc>
          <w:tcPr>
            <w:tcW w:type="dxa" w:w="1134"/>
            <w:shd w:fill="EDF2F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1"/>
              </w:rPr>
              <w:t>12</w:t>
            </w:r>
          </w:p>
        </w:tc>
        <w:tc>
          <w:tcPr>
            <w:tcW w:type="dxa" w:w="2835"/>
            <w:shd w:fill="EDF2F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源代码</w:t>
            </w:r>
          </w:p>
        </w:tc>
        <w:tc>
          <w:tcPr>
            <w:tcW w:type="dxa" w:w="5102"/>
            <w:shd w:fill="EDF2F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GitHub仓库</w:t>
            </w:r>
          </w:p>
        </w:tc>
      </w:tr>
    </w:tbl>
    <w:p/>
    <w:p>
      <w:pPr>
        <w:spacing w:after="200" w:before="360"/>
        <w:jc w:val="left"/>
        <w:pBdr>
          <w:bottom w:val="single" w:sz="8" w:space="4" w:color="1A3C6E"/>
        </w:pBdr>
      </w:pPr>
      <w:r>
        <w:rPr>
          <w:rFonts w:ascii="微软雅黑" w:hAnsi="微软雅黑" w:eastAsia="微软雅黑"/>
          <w:b/>
          <w:color w:val="1A3C6E"/>
          <w:sz w:val="32"/>
        </w:rPr>
        <w:t>十四、关键时间节点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2835"/>
            <w:shd w:fill="1A3C6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时间</w:t>
            </w:r>
          </w:p>
        </w:tc>
        <w:tc>
          <w:tcPr>
            <w:tcW w:type="dxa" w:w="6236"/>
            <w:shd w:fill="1A3C6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事项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1"/>
              </w:rPr>
              <w:t>2026年6月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报名通道开启</w:t>
            </w:r>
          </w:p>
        </w:tc>
      </w:tr>
      <w:tr>
        <w:tc>
          <w:tcPr>
            <w:tcW w:type="dxa" w:w="2835"/>
            <w:shd w:fill="EDF2F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1"/>
              </w:rPr>
              <w:t>2026年7月</w:t>
            </w:r>
          </w:p>
        </w:tc>
        <w:tc>
          <w:tcPr>
            <w:tcW w:type="dxa" w:w="6236"/>
            <w:shd w:fill="EDF2F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成果初选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1"/>
              </w:rPr>
              <w:t>2026年8月中旬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成果路演</w:t>
            </w:r>
          </w:p>
        </w:tc>
      </w:tr>
      <w:tr>
        <w:tc>
          <w:tcPr>
            <w:tcW w:type="dxa" w:w="2835"/>
            <w:shd w:fill="EDF2F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1"/>
              </w:rPr>
              <w:t>2026年9月</w:t>
            </w:r>
          </w:p>
        </w:tc>
        <w:tc>
          <w:tcPr>
            <w:tcW w:type="dxa" w:w="6236"/>
            <w:shd w:fill="EDF2F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上海Inclusion·外滩大会颁奖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Char w:fldCharType="begin"/>
    <w:instrText xml:space="preserve"> PAGE </w:instrText>
    <w:fldChar w:fldCharType="end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4" w:space="1" w:color="1A3C6E"/>
      </w:pBdr>
    </w:pPr>
    <w:r>
      <w:rPr>
        <w:rFonts w:ascii="微软雅黑" w:hAnsi="微软雅黑" w:eastAsia="微软雅黑"/>
        <w:b w:val="0"/>
        <w:color w:val="1A3C6E"/>
        <w:sz w:val="18"/>
      </w:rPr>
      <w:t>AFAC2026金融智能创新大赛  报名信息表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