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3C6E"/>
          <w:sz w:val="56"/>
        </w:rPr>
        <w:t>AFAC2026金融智能创新大赛</w:t>
      </w:r>
    </w:p>
    <w:p>
      <w:pPr>
        <w:jc w:val="center"/>
      </w:pPr>
      <w:r>
        <w:rPr>
          <w:rFonts w:ascii="微软雅黑" w:hAnsi="微软雅黑" w:eastAsia="微软雅黑"/>
          <w:color w:val="2B579A"/>
          <w:sz w:val="36"/>
        </w:rPr>
        <w:t>初创组 · 项目申报书</w:t>
      </w:r>
    </w:p>
    <w:p>
      <w:pPr>
        <w:jc w:val="center"/>
      </w:pPr>
      <w:r>
        <w:rPr>
          <w:rFonts w:ascii="微软雅黑" w:hAnsi="微软雅黑" w:eastAsia="微软雅黑"/>
          <w:color w:val="006BD6"/>
          <w:sz w:val="28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微软雅黑" w:hAnsi="微软雅黑" w:eastAsia="微软雅黑"/>
          <w:color w:val="555555"/>
          <w:sz w:val="28"/>
        </w:rPr>
        <w:t>项目名称：FinAgent Pro 金融自主智能体平台</w:t>
      </w:r>
    </w:p>
    <w:p>
      <w:pPr>
        <w:jc w:val="center"/>
      </w:pPr>
      <w:r>
        <w:rPr>
          <w:rFonts w:ascii="微软雅黑" w:hAnsi="微软雅黑" w:eastAsia="微软雅黑"/>
          <w:color w:val="555555"/>
          <w:sz w:val="28"/>
        </w:rPr>
        <w:t>团队名称：智融先锋</w:t>
      </w:r>
    </w:p>
    <w:p>
      <w:pPr>
        <w:jc w:val="center"/>
      </w:pPr>
      <w:r>
        <w:rPr>
          <w:rFonts w:ascii="微软雅黑" w:hAnsi="微软雅黑" w:eastAsia="微软雅黑"/>
          <w:color w:val="555555"/>
          <w:sz w:val="28"/>
        </w:rPr>
        <w:t>负责人：冯亦根</w:t>
      </w:r>
    </w:p>
    <w:p>
      <w:pPr>
        <w:jc w:val="center"/>
      </w:pPr>
      <w:r>
        <w:rPr>
          <w:rFonts w:ascii="微软雅黑" w:hAnsi="微软雅黑" w:eastAsia="微软雅黑"/>
          <w:color w:val="555555"/>
          <w:sz w:val="28"/>
        </w:rPr>
        <w:t>2026年6月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微软雅黑" w:hAnsi="微软雅黑" w:eastAsia="微软雅黑"/>
          <w:b/>
          <w:color w:val="1A3C6E"/>
          <w:sz w:val="36"/>
        </w:rPr>
        <w:t>一、项目基本信息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803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项目名称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1"/>
              </w:rPr>
              <w:t>FinAgent Pro 金融自主智能体平台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赛道方向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1"/>
              </w:rPr>
              <w:t>金融科技创新应用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参赛组别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1"/>
              </w:rPr>
              <w:t>初创组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团队名称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1"/>
              </w:rPr>
              <w:t>智融先锋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项目负责人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1"/>
              </w:rPr>
              <w:t>冯亦根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联系电话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1"/>
              </w:rPr>
              <w:t>138-XXXX-XXXX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电子邮箱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1"/>
              </w:rPr>
              <w:t>contact@finagent-pro.com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所在单位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1"/>
              </w:rPr>
              <w:t>浙江大学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项目阶段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1"/>
              </w:rPr>
              <w:t>MVP开发阶段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知识产权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1"/>
              </w:rPr>
              <w:t>软件著作权申请中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微软雅黑" w:hAnsi="微软雅黑" w:eastAsia="微软雅黑"/>
          <w:b/>
          <w:color w:val="1A3C6E"/>
          <w:sz w:val="36"/>
        </w:rPr>
        <w:t>二、项目概述</w:t>
      </w:r>
    </w:p>
    <w:p>
      <w:pPr>
        <w:pStyle w:val="Heading2"/>
        <w:spacing w:before="240" w:after="80"/>
      </w:pPr>
      <w:r>
        <w:rPr>
          <w:rFonts w:ascii="微软雅黑" w:hAnsi="微软雅黑" w:eastAsia="微软雅黑"/>
          <w:b/>
          <w:color w:val="2B579A"/>
          <w:sz w:val="28"/>
        </w:rPr>
        <w:t>2.1 项目简介</w:t>
      </w:r>
    </w:p>
    <w:p>
      <w:pPr>
        <w:spacing w:line="400" w:lineRule="exact" w:after="80"/>
      </w:pPr>
      <w:r>
        <w:rPr>
          <w:rFonts w:ascii="微软雅黑" w:hAnsi="微软雅黑" w:eastAsia="微软雅黑"/>
          <w:color w:val="000000"/>
          <w:sz w:val="21"/>
        </w:rPr>
        <w:t>FinAgent Pro是一款面向金融行业的自主智能体（Agentic AI）平台，通过六大专业数字员工——市场分析师、新闻解读员、风控专员、策略顾问、交易执行员和报告撰写员——为金融机构提供7×24小时全链路智能投研服务。平台基于ReAct推理引擎实现智能体自主决策，通过多智能体协同机制实现深度分析，以主动智能系统实现实时预警，并内置合规引擎确保全流程合规。</w:t>
      </w:r>
    </w:p>
    <w:p>
      <w:pPr>
        <w:pStyle w:val="Heading2"/>
        <w:spacing w:before="240" w:after="80"/>
      </w:pPr>
      <w:r>
        <w:rPr>
          <w:rFonts w:ascii="微软雅黑" w:hAnsi="微软雅黑" w:eastAsia="微软雅黑"/>
          <w:b/>
          <w:color w:val="2B579A"/>
          <w:sz w:val="28"/>
        </w:rPr>
        <w:t>2.2 核心创新——六大创新点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850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创新点</w:t>
            </w:r>
          </w:p>
        </w:tc>
        <w:tc>
          <w:tcPr>
            <w:tcW w:type="dxa" w:w="6520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创新描述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ReAct自主推理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21"/>
              </w:rPr>
              <w:t>自研推理引擎，实现「思考-行动-观察」闭环，智能体可自主规划任务、调用工具、评估结果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1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多智能体协同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21"/>
              </w:rPr>
              <w:t>6大专业智能体分工协作，Orchestrator统一调度，加权协商算法消解冲突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1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主动智能系统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21"/>
              </w:rPr>
              <w:t>定时巡检+事件驱动+阈值预警+计划执行，7×24小时主动服务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1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合规引擎内嵌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21"/>
              </w:rPr>
              <w:t>200+监管规则内置，所有输出自动合规审查，审计全程留痕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1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三层记忆架构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21"/>
              </w:rPr>
              <w:t>短期+工作+长期记忆，智能体持续学习优化，越用越智能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1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思维链可视化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21"/>
              </w:rPr>
              <w:t>推理过程透明可追溯，决策可解释，增强用户信任</w:t>
            </w:r>
          </w:p>
        </w:tc>
      </w:tr>
    </w:tbl>
    <w:p>
      <w:pPr>
        <w:pStyle w:val="Heading2"/>
        <w:spacing w:before="240" w:after="80"/>
      </w:pPr>
      <w:r>
        <w:rPr>
          <w:rFonts w:ascii="微软雅黑" w:hAnsi="微软雅黑" w:eastAsia="微软雅黑"/>
          <w:b/>
          <w:color w:val="2B579A"/>
          <w:sz w:val="28"/>
        </w:rPr>
        <w:t>2.3 应用场景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投研分析：分析师使用智能体快速完成多维度投研分析，效率提升10倍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风控预警：风控团队7×24小时实时监控，风险事件秒级响应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合规审查：合规团队借助合规引擎自动审查，效率提升80%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投资决策：投资经理获取多智能体协同分析结论，辅助科学决策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个人投研：个人投资者享受专业级投研服务，降低信息不对称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微软雅黑" w:hAnsi="微软雅黑" w:eastAsia="微软雅黑"/>
          <w:b/>
          <w:color w:val="1A3C6E"/>
          <w:sz w:val="36"/>
        </w:rPr>
        <w:t>三、技术与产品</w:t>
      </w:r>
    </w:p>
    <w:p>
      <w:pPr>
        <w:pStyle w:val="Heading2"/>
        <w:spacing w:before="240" w:after="80"/>
      </w:pPr>
      <w:r>
        <w:rPr>
          <w:rFonts w:ascii="微软雅黑" w:hAnsi="微软雅黑" w:eastAsia="微软雅黑"/>
          <w:b/>
          <w:color w:val="2B579A"/>
          <w:sz w:val="28"/>
        </w:rPr>
        <w:t>3.1 技术路线——Agentic AI + 多智能体协同</w:t>
      </w:r>
    </w:p>
    <w:p>
      <w:pPr>
        <w:spacing w:line="400" w:lineRule="exact" w:after="80"/>
      </w:pPr>
      <w:r>
        <w:rPr>
          <w:rFonts w:ascii="微软雅黑" w:hAnsi="微软雅黑" w:eastAsia="微软雅黑"/>
          <w:color w:val="000000"/>
          <w:sz w:val="21"/>
        </w:rPr>
        <w:t>FinAgent Pro采用Agentic AI技术路线，以ReAct推理引擎为核心，结合多智能体协同、主动智能和合规引擎，构建金融行业专属的自主智能体平台。技术路线的核心优势在于：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自主性：智能体可自主规划、决策和行动，而非被动响应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协同性：多智能体分工协作，1+1&gt;2的群体智能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主动性：无需用户触发，主动发现和推送关键信息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合规性：合规引擎全程嵌入，确保输出安全合规</w:t>
      </w:r>
    </w:p>
    <w:p>
      <w:pPr>
        <w:pStyle w:val="Heading2"/>
        <w:spacing w:before="240" w:after="80"/>
      </w:pPr>
      <w:r>
        <w:rPr>
          <w:rFonts w:ascii="微软雅黑" w:hAnsi="微软雅黑" w:eastAsia="微软雅黑"/>
          <w:b/>
          <w:color w:val="2B579A"/>
          <w:sz w:val="28"/>
        </w:rPr>
        <w:t>3.2 产品功能——六大数字员工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数字员工</w:t>
            </w:r>
          </w:p>
        </w:tc>
        <w:tc>
          <w:tcPr>
            <w:tcW w:type="dxa" w:w="368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核心功能</w:t>
            </w:r>
          </w:p>
        </w:tc>
        <w:tc>
          <w:tcPr>
            <w:tcW w:type="dxa" w:w="368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技术实现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市场分析师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1"/>
              </w:rPr>
              <w:t>行情监测、技术分析、趋势识别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1"/>
              </w:rPr>
              <w:t>ReAct + 技术指标工具 + 定时巡检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新闻解读员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1"/>
              </w:rPr>
              <w:t>资讯解读、事件提取、情绪分析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1"/>
              </w:rPr>
              <w:t>ReAct + NLP工具 + 事件驱动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风控专员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1"/>
              </w:rPr>
              <w:t>风险评估、VaR计算、阈值预警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1"/>
              </w:rPr>
              <w:t>ReAct + 风控模型 + 实时监控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策略顾问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1"/>
              </w:rPr>
              <w:t>策略生成、历史回测、收益归因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1"/>
              </w:rPr>
              <w:t>ReAct + 回测引擎 + 因子分析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交易执行员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1"/>
              </w:rPr>
              <w:t>信号生成、执行优化、合规检查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1"/>
              </w:rPr>
              <w:t>ReAct + 信号算法 + 合规审查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报告撰写员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1"/>
              </w:rPr>
              <w:t>报告生成、数据可视化、合规审查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1"/>
              </w:rPr>
              <w:t>ReAct + 模板引擎 + 图表工具</w:t>
            </w:r>
          </w:p>
        </w:tc>
      </w:tr>
    </w:tbl>
    <w:p>
      <w:pPr>
        <w:pStyle w:val="Heading2"/>
        <w:spacing w:before="240" w:after="80"/>
      </w:pPr>
      <w:r>
        <w:rPr>
          <w:rFonts w:ascii="微软雅黑" w:hAnsi="微软雅黑" w:eastAsia="微软雅黑"/>
          <w:b/>
          <w:color w:val="2B579A"/>
          <w:sz w:val="28"/>
        </w:rPr>
        <w:t>3.3 技术指标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目标值</w:t>
            </w:r>
          </w:p>
        </w:tc>
        <w:tc>
          <w:tcPr>
            <w:tcW w:type="dxa" w:w="5102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单次分析响应时间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&lt; 5秒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1"/>
              </w:rPr>
              <w:t>从用户提问到返回分析结果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并发用户数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100+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1"/>
              </w:rPr>
              <w:t>同时在线使用用户数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系统可用性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99.9%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1"/>
              </w:rPr>
              <w:t>年度停机时间&lt;8.76小时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合规审查覆盖率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100%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1"/>
              </w:rPr>
              <w:t>所有输出均经过合规审查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预警响应时间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&lt; 30秒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1"/>
              </w:rPr>
              <w:t>从风险触发到预警推送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报告生成时间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&lt; 3分钟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1"/>
              </w:rPr>
              <w:t>完整投研报告自动生成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微软雅黑" w:hAnsi="微软雅黑" w:eastAsia="微软雅黑"/>
          <w:b/>
          <w:color w:val="1A3C6E"/>
          <w:sz w:val="36"/>
        </w:rPr>
        <w:t>四、市场与商业</w:t>
      </w:r>
    </w:p>
    <w:p>
      <w:pPr>
        <w:pStyle w:val="Heading2"/>
        <w:spacing w:before="240" w:after="80"/>
      </w:pPr>
      <w:r>
        <w:rPr>
          <w:rFonts w:ascii="微软雅黑" w:hAnsi="微软雅黑" w:eastAsia="微软雅黑"/>
          <w:b/>
          <w:color w:val="2B579A"/>
          <w:sz w:val="28"/>
        </w:rPr>
        <w:t>4.1 市场规模</w:t>
      </w:r>
    </w:p>
    <w:p>
      <w:pPr>
        <w:spacing w:line="400" w:lineRule="exact" w:after="80"/>
      </w:pPr>
      <w:r>
        <w:rPr>
          <w:rFonts w:ascii="微软雅黑" w:hAnsi="微软雅黑" w:eastAsia="微软雅黑"/>
          <w:color w:val="000000"/>
          <w:sz w:val="21"/>
        </w:rPr>
        <w:t>中国金融科技AI应用市场规模达500亿元（TAM），其中AI+投研/风控/合规细分市场50亿元（SAM），Agentic AI金融平台市场5亿元（SOM）。市场年复合增长率超过35%，先发优势明显。</w:t>
      </w:r>
    </w:p>
    <w:p>
      <w:pPr>
        <w:pStyle w:val="Heading2"/>
        <w:spacing w:before="240" w:after="80"/>
      </w:pPr>
      <w:r>
        <w:rPr>
          <w:rFonts w:ascii="微软雅黑" w:hAnsi="微软雅黑" w:eastAsia="微软雅黑"/>
          <w:b/>
          <w:color w:val="2B579A"/>
          <w:sz w:val="28"/>
        </w:rPr>
        <w:t>4.2 商业模式</w:t>
      </w:r>
    </w:p>
    <w:p>
      <w:pPr>
        <w:spacing w:line="400" w:lineRule="exact" w:after="80"/>
      </w:pPr>
      <w:r>
        <w:rPr>
          <w:rFonts w:ascii="微软雅黑" w:hAnsi="微软雅黑" w:eastAsia="微软雅黑"/>
          <w:color w:val="000000"/>
          <w:sz w:val="21"/>
        </w:rPr>
        <w:t>采用SaaS三层定价模式：基础版（299元/月，个人投资者）、专业版（999元/月，小型工作室）、企业版（5万起/年，金融机构）。预计第三年ARR达1.2亿元，毛利率82%。</w:t>
      </w:r>
    </w:p>
    <w:p>
      <w:pPr>
        <w:pStyle w:val="Heading2"/>
        <w:spacing w:before="240" w:after="80"/>
      </w:pPr>
      <w:r>
        <w:rPr>
          <w:rFonts w:ascii="微软雅黑" w:hAnsi="微软雅黑" w:eastAsia="微软雅黑"/>
          <w:b/>
          <w:color w:val="2B579A"/>
          <w:sz w:val="28"/>
        </w:rPr>
        <w:t>4.3 竞争分析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984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传统金融终端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通用AI工具</w:t>
            </w:r>
          </w:p>
        </w:tc>
        <w:tc>
          <w:tcPr>
            <w:tcW w:type="dxa" w:w="255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FinAgent Pro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1"/>
              </w:rPr>
              <w:t>专业深度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高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低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1"/>
              </w:rPr>
              <w:t>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1"/>
              </w:rPr>
              <w:t>智能程度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低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中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1"/>
              </w:rPr>
              <w:t>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1"/>
              </w:rPr>
              <w:t>自主性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无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低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1"/>
              </w:rPr>
              <w:t>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1"/>
              </w:rPr>
              <w:t>合规能力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中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无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1"/>
              </w:rPr>
              <w:t>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1"/>
              </w:rPr>
              <w:t>价格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高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低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1"/>
              </w:rPr>
              <w:t>中</w:t>
            </w:r>
          </w:p>
        </w:tc>
      </w:tr>
    </w:tbl>
    <w:p>
      <w:pPr>
        <w:spacing w:line="400" w:lineRule="exact" w:after="80"/>
      </w:pPr>
      <w:r>
        <w:rPr>
          <w:rFonts w:ascii="微软雅黑" w:hAnsi="微软雅黑" w:eastAsia="微软雅黑"/>
          <w:color w:val="000000"/>
          <w:sz w:val="21"/>
        </w:rPr>
        <w:t>FinAgent Pro填补了传统金融终端与通用AI工具之间的市场空白，具备差异化竞争优势。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微软雅黑" w:hAnsi="微软雅黑" w:eastAsia="微软雅黑"/>
          <w:b/>
          <w:color w:val="1A3C6E"/>
          <w:sz w:val="36"/>
        </w:rPr>
        <w:t>五、团队情况</w:t>
      </w:r>
    </w:p>
    <w:p>
      <w:pPr>
        <w:pStyle w:val="Heading2"/>
        <w:spacing w:before="240" w:after="80"/>
      </w:pPr>
      <w:r>
        <w:rPr>
          <w:rFonts w:ascii="微软雅黑" w:hAnsi="微软雅黑" w:eastAsia="微软雅黑"/>
          <w:b/>
          <w:color w:val="2B579A"/>
          <w:sz w:val="28"/>
        </w:rPr>
        <w:t>5.1 创始人介绍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803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姓名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1"/>
              </w:rPr>
              <w:t>冯亦根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角色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1"/>
              </w:rPr>
              <w:t>创始人 / 全栈开发 / 架构设计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学校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1"/>
              </w:rPr>
              <w:t>浙江大学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专业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1"/>
              </w:rPr>
              <w:t>计算机通信工程（本科）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团队模式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1"/>
              </w:rPr>
              <w:t>OPC一人团队（AFAC大赛支持）</w:t>
            </w:r>
          </w:p>
        </w:tc>
      </w:tr>
    </w:tbl>
    <w:p/>
    <w:p>
      <w:pPr>
        <w:spacing w:line="400" w:lineRule="exact" w:after="80"/>
      </w:pPr>
      <w:r>
        <w:rPr>
          <w:rFonts w:ascii="微软雅黑" w:hAnsi="微软雅黑" w:eastAsia="微软雅黑"/>
          <w:color w:val="000000"/>
          <w:sz w:val="21"/>
        </w:rPr>
        <w:t>冯亦根，浙江大学计算机通信工程专业本科生，兼具AI与通信工程复合背景，独立完成FinAgent Pro从架构设计到代码实现的全流程开发。作为OPC（One Person Company）一人团队模式的践行者，他以一己之力构建了包含6大专业智能体、ReAct推理引擎、三层记忆系统和完整前端界面的金融自主智能体平台，充分展现了AI时代个人创造力的无限可能。</w:t>
      </w:r>
    </w:p>
    <w:p>
      <w:pPr>
        <w:pStyle w:val="Heading2"/>
        <w:spacing w:before="240" w:after="80"/>
      </w:pPr>
      <w:r>
        <w:rPr>
          <w:rFonts w:ascii="微软雅黑" w:hAnsi="微软雅黑" w:eastAsia="微软雅黑"/>
          <w:b/>
          <w:color w:val="2B579A"/>
          <w:sz w:val="28"/>
        </w:rPr>
        <w:t>5.2 一人团队的力量——OPC模式</w:t>
      </w:r>
    </w:p>
    <w:p>
      <w:pPr>
        <w:spacing w:line="400" w:lineRule="exact" w:after="80"/>
      </w:pPr>
      <w:r>
        <w:rPr>
          <w:rFonts w:ascii="微软雅黑" w:hAnsi="微软雅黑" w:eastAsia="微软雅黑"/>
          <w:color w:val="000000"/>
          <w:sz w:val="21"/>
        </w:rPr>
        <w:t>AFAC2026金融智能创新大赛支持OPC（One Person Company）一人团队参赛模式，冯亦根正是这一模式的杰出代表。在AI工具的赋能下，一个人可以完成过去需要一个团队才能完成的工作——这就是AI时代的新生产力范式。</w:t>
      </w:r>
    </w:p>
    <w:p>
      <w:pPr>
        <w:spacing w:line="400" w:lineRule="exact" w:after="80"/>
      </w:pPr>
      <w:r>
        <w:rPr>
          <w:rFonts w:ascii="微软雅黑" w:hAnsi="微软雅黑" w:eastAsia="微软雅黑"/>
          <w:color w:val="000000"/>
          <w:sz w:val="21"/>
        </w:rPr>
        <w:t>「一个人，一支队，以一当十」——这不是口号，而是冯亦根用代码和实践证明的现实：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架构设计：独立完成六层技术架构设计，从基础设施层到交互层，每一层的选型和接口定义均由一人把控，确保架构一致性和系统完整性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ReAct推理引擎：从零实现「思考-行动-观察」推理闭环，包括工具调用、多步推理、错误恢复等核心机制，代码量超过5,000行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六大智能体：市场分析师、新闻解读员、风控专员、策略顾问、交易执行员、报告撰写员——每一个智能体的Prompt工程、工具配置、协同逻辑均由一人设计实现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Orchestrator调度系统：实现三阶段流水线（规划→执行→整合）和加权协商算法，解决多智能体冲突消解问题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三层记忆架构：短期记忆、工作记忆、长期记忆的完整实现，支持智能体上下文感知和持续学习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前端全栈开发：基于React的Dashboard、分析页、对话页等完整用户界面，实现思维链可视化和实时交互</w:t>
      </w:r>
    </w:p>
    <w:p>
      <w:pPr>
        <w:pStyle w:val="Heading2"/>
        <w:spacing w:before="240" w:after="80"/>
      </w:pPr>
      <w:r>
        <w:rPr>
          <w:rFonts w:ascii="微软雅黑" w:hAnsi="微软雅黑" w:eastAsia="微软雅黑"/>
          <w:b/>
          <w:color w:val="2B579A"/>
          <w:sz w:val="28"/>
        </w:rPr>
        <w:t>5.3 复合背景的优势</w:t>
      </w:r>
    </w:p>
    <w:p>
      <w:pPr>
        <w:spacing w:line="400" w:lineRule="exact" w:after="80"/>
      </w:pPr>
      <w:r>
        <w:rPr>
          <w:rFonts w:ascii="微软雅黑" w:hAnsi="微软雅黑" w:eastAsia="微软雅黑"/>
          <w:color w:val="000000"/>
          <w:sz w:val="21"/>
        </w:rPr>
        <w:t>浙江大学计算机通信工程专业为冯亦根提供了独特的复合能力：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计算机科学：扎实的算法、数据结构、系统设计基础，支撑复杂系统架构能力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通信工程：信号处理、信息论、网络协议等知识，为金融时序数据分析和实时系统设计提供方法论支撑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AI工程化：将前沿AI研究（ReAct、Multi-Agent、Chain-of-Thought）转化为可落地的工程系统，实现从论文到产品的跨越</w:t>
      </w:r>
    </w:p>
    <w:p>
      <w:pPr>
        <w:pStyle w:val="Heading2"/>
        <w:spacing w:before="240" w:after="80"/>
      </w:pPr>
      <w:r>
        <w:rPr>
          <w:rFonts w:ascii="微软雅黑" w:hAnsi="微软雅黑" w:eastAsia="微软雅黑"/>
          <w:b/>
          <w:color w:val="2B579A"/>
          <w:sz w:val="28"/>
        </w:rPr>
        <w:t>5.4 团队优势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极致执行力：一人决策、一人实现，零沟通成本，从想法到代码的转化效率极高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架构一致性：全栈一人把控，不存在多人协作的接口对齐问题，系统设计高度一致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AI赋能倍增：借助AI辅助编程工具，个人开发效率实现10倍提升，一人团队产出媲美传统5-10人团队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快速迭代：无需团队协调，可7×24小时持续迭代，MVP开发速度远超传统团队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成本优势：一人团队的运营成本极低，使产品可以更快的速度和更低的价格触达用户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微软雅黑" w:hAnsi="微软雅黑" w:eastAsia="微软雅黑"/>
          <w:b/>
          <w:color w:val="1A3C6E"/>
          <w:sz w:val="36"/>
        </w:rPr>
        <w:t>六、项目进展</w:t>
      </w:r>
    </w:p>
    <w:p>
      <w:pPr>
        <w:pStyle w:val="Heading2"/>
        <w:spacing w:before="240" w:after="80"/>
      </w:pPr>
      <w:r>
        <w:rPr>
          <w:rFonts w:ascii="微软雅黑" w:hAnsi="微软雅黑" w:eastAsia="微软雅黑"/>
          <w:b/>
          <w:color w:val="2B579A"/>
          <w:sz w:val="28"/>
        </w:rPr>
        <w:t>6.1 已完成工作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850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工作内容</w:t>
            </w:r>
          </w:p>
        </w:tc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完成状态</w:t>
            </w:r>
          </w:p>
        </w:tc>
        <w:tc>
          <w:tcPr>
            <w:tcW w:type="dxa" w:w="4252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技术架构设计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✅ 已完成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21"/>
              </w:rPr>
              <w:t>六层架构设计，技术选型确定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1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ReAct推理引擎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✅ 已完成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21"/>
              </w:rPr>
              <w:t>核心推理循环实现，支持多步推理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1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六大智能体原型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✅ 已完成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21"/>
              </w:rPr>
              <w:t>基础功能实现，可独立运行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1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Orchestrator调度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✅ 已完成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21"/>
              </w:rPr>
              <w:t>三阶段流水线，加权协商算法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1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前端界面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🔄 进行中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21"/>
              </w:rPr>
              <w:t>Dashboard、分析页、对话页已完成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1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1"/>
              </w:rPr>
              <w:t>合规引擎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🔄 进行中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21"/>
              </w:rPr>
              <w:t>核心规则已实现，持续扩充中</w:t>
            </w:r>
          </w:p>
        </w:tc>
      </w:tr>
    </w:tbl>
    <w:p>
      <w:pPr>
        <w:pStyle w:val="Heading2"/>
        <w:spacing w:before="240" w:after="80"/>
      </w:pPr>
      <w:r>
        <w:rPr>
          <w:rFonts w:ascii="微软雅黑" w:hAnsi="微软雅黑" w:eastAsia="微软雅黑"/>
          <w:b/>
          <w:color w:val="2B579A"/>
          <w:sz w:val="28"/>
        </w:rPr>
        <w:t>6.2 后续计划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1984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5386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计划内容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MVP完善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1"/>
              </w:rPr>
              <w:t>2026年7-8月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21"/>
              </w:rPr>
              <w:t>功能完善、性能优化、内测准备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内测上线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1"/>
              </w:rPr>
              <w:t>2026年9月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21"/>
              </w:rPr>
              <w:t>邀请50名种子用户内测，收集反馈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公测发布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1"/>
              </w:rPr>
              <w:t>2026年11月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21"/>
              </w:rPr>
              <w:t>开放注册，基础版和专业版上线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企业版发布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1"/>
              </w:rPr>
              <w:t>2027年3月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21"/>
              </w:rPr>
              <w:t>企业版功能开发完成，启动销售</w:t>
            </w:r>
          </w:p>
        </w:tc>
      </w:tr>
    </w:tbl>
    <w:p>
      <w:pPr>
        <w:pStyle w:val="Heading2"/>
        <w:spacing w:before="240" w:after="80"/>
      </w:pPr>
      <w:r>
        <w:rPr>
          <w:rFonts w:ascii="微软雅黑" w:hAnsi="微软雅黑" w:eastAsia="微软雅黑"/>
          <w:b/>
          <w:color w:val="2B579A"/>
          <w:sz w:val="28"/>
        </w:rPr>
        <w:t>6.3 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里程碑</w:t>
            </w:r>
          </w:p>
        </w:tc>
        <w:tc>
          <w:tcPr>
            <w:tcW w:type="dxa" w:w="1984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预计时间</w:t>
            </w:r>
          </w:p>
        </w:tc>
        <w:tc>
          <w:tcPr>
            <w:tcW w:type="dxa" w:w="5386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关键指标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MVP上线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1"/>
              </w:rPr>
              <w:t>2026年9月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21"/>
              </w:rPr>
              <w:t>核心功能可用，100+注册用户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首批付费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1"/>
              </w:rPr>
              <w:t>2026年11月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21"/>
              </w:rPr>
              <w:t>10+付费用户，ARR突破50万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企业版发布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1"/>
              </w:rPr>
              <w:t>2027年3月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21"/>
              </w:rPr>
              <w:t>5+企业客户，ARR突破500万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1"/>
              </w:rPr>
              <w:t>规模化增长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1"/>
              </w:rPr>
              <w:t>2027年Q4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21"/>
              </w:rPr>
              <w:t>200+付费用户，ARR突破1000万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微软雅黑" w:hAnsi="微软雅黑" w:eastAsia="微软雅黑"/>
          <w:b/>
          <w:color w:val="1A3C6E"/>
          <w:sz w:val="36"/>
        </w:rPr>
        <w:t>七、融资需求</w:t>
      </w:r>
    </w:p>
    <w:p>
      <w:pPr>
        <w:pStyle w:val="Heading2"/>
        <w:spacing w:before="240" w:after="80"/>
      </w:pPr>
      <w:r>
        <w:rPr>
          <w:rFonts w:ascii="微软雅黑" w:hAnsi="微软雅黑" w:eastAsia="微软雅黑"/>
          <w:b/>
          <w:color w:val="2B579A"/>
          <w:sz w:val="28"/>
        </w:rPr>
        <w:t>7.1 融资金额</w:t>
      </w:r>
    </w:p>
    <w:p>
      <w:pPr>
        <w:spacing w:line="400" w:lineRule="exact" w:after="80"/>
      </w:pPr>
      <w:r>
        <w:rPr>
          <w:rFonts w:ascii="微软雅黑" w:hAnsi="微软雅黑" w:eastAsia="微软雅黑"/>
          <w:color w:val="000000"/>
          <w:sz w:val="21"/>
        </w:rPr>
        <w:t>天使轮融资500万元人民币，出让股权10%-15%，投前估值3,300万-5,000万元。</w:t>
      </w:r>
    </w:p>
    <w:p>
      <w:pPr>
        <w:pStyle w:val="Heading2"/>
        <w:spacing w:before="240" w:after="80"/>
      </w:pPr>
      <w:r>
        <w:rPr>
          <w:rFonts w:ascii="微软雅黑" w:hAnsi="微软雅黑" w:eastAsia="微软雅黑"/>
          <w:b/>
          <w:color w:val="2B579A"/>
          <w:sz w:val="28"/>
        </w:rPr>
        <w:t>7.2 资金用途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金额（万元）</w:t>
            </w:r>
          </w:p>
        </w:tc>
        <w:tc>
          <w:tcPr>
            <w:tcW w:type="dxa" w:w="3402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占比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1"/>
              </w:rPr>
              <w:t>产品研发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1"/>
              </w:rPr>
              <w:t>250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1"/>
              </w:rPr>
              <w:t>50%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1"/>
              </w:rPr>
              <w:t>团队建设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1"/>
              </w:rPr>
              <w:t>100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1"/>
              </w:rPr>
              <w:t>20%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1"/>
              </w:rPr>
              <w:t>市场推广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1"/>
              </w:rPr>
              <w:t>80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1"/>
              </w:rPr>
              <w:t>16%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1"/>
              </w:rPr>
              <w:t>数据采购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1"/>
              </w:rPr>
              <w:t>40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1"/>
              </w:rPr>
              <w:t>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1"/>
              </w:rPr>
              <w:t>运营储备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1"/>
              </w:rPr>
              <w:t>30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1"/>
              </w:rPr>
              <w:t>6%</w:t>
            </w:r>
          </w:p>
        </w:tc>
      </w:tr>
    </w:tbl>
    <w:p>
      <w:pPr>
        <w:pStyle w:val="Heading2"/>
        <w:spacing w:before="240" w:after="80"/>
      </w:pPr>
      <w:r>
        <w:rPr>
          <w:rFonts w:ascii="微软雅黑" w:hAnsi="微软雅黑" w:eastAsia="微软雅黑"/>
          <w:b/>
          <w:color w:val="2B579A"/>
          <w:sz w:val="28"/>
        </w:rPr>
        <w:t>7.3 预期回报</w:t>
      </w:r>
    </w:p>
    <w:p>
      <w:pPr>
        <w:spacing w:line="400" w:lineRule="exact" w:after="80"/>
      </w:pPr>
      <w:r>
        <w:rPr>
          <w:rFonts w:ascii="微软雅黑" w:hAnsi="微软雅黑" w:eastAsia="微软雅黑"/>
          <w:color w:val="000000"/>
          <w:sz w:val="21"/>
        </w:rPr>
        <w:t>预计3年内ARR达1.2亿元，净利润4,000万元。投资回报预期：3-5倍回报，退出方式包括IPO上市、战略并购或股权回购。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微软雅黑" w:hAnsi="微软雅黑" w:eastAsia="微软雅黑"/>
          <w:b/>
          <w:color w:val="1A3C6E"/>
          <w:sz w:val="36"/>
        </w:rPr>
        <w:t>八、社会价值</w:t>
      </w:r>
    </w:p>
    <w:p>
      <w:pPr>
        <w:pStyle w:val="Heading2"/>
        <w:spacing w:before="240" w:after="80"/>
      </w:pPr>
      <w:r>
        <w:rPr>
          <w:rFonts w:ascii="微软雅黑" w:hAnsi="微软雅黑" w:eastAsia="微软雅黑"/>
          <w:b/>
          <w:color w:val="2B579A"/>
          <w:sz w:val="28"/>
        </w:rPr>
        <w:t>8.1 响应国家战略</w:t>
      </w:r>
    </w:p>
    <w:p>
      <w:pPr>
        <w:spacing w:line="400" w:lineRule="exact" w:after="80"/>
      </w:pPr>
      <w:r>
        <w:rPr>
          <w:rFonts w:ascii="微软雅黑" w:hAnsi="微软雅黑" w:eastAsia="微软雅黑"/>
          <w:color w:val="000000"/>
          <w:sz w:val="21"/>
        </w:rPr>
        <w:t>FinAgent Pro积极响应中央金融工作会议「五篇大文章」战略：科技金融——以AI技术推动金融科技自主创新；绿色金融——ESG智能评估助力绿色投资；普惠金融——降低投研门槛服务中小投资者；养老金融——稳健策略服务养老资金；数字金融——推动金融行业数字化转型。</w:t>
      </w:r>
    </w:p>
    <w:p>
      <w:pPr>
        <w:pStyle w:val="Heading2"/>
        <w:spacing w:before="240" w:after="80"/>
      </w:pPr>
      <w:r>
        <w:rPr>
          <w:rFonts w:ascii="微软雅黑" w:hAnsi="微软雅黑" w:eastAsia="微软雅黑"/>
          <w:b/>
          <w:color w:val="2B579A"/>
          <w:sz w:val="28"/>
        </w:rPr>
        <w:t>8.2 促进就业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直接就业：项目发展后团队规模逐步扩展，创造高质量AI+金融就业岗位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间接就业：通过生态建设，带动数据标注、模型训练、客户服务等上下游就业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技能升级：帮助金融从业者掌握AI工具，提升职业技能和竞争力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OPC示范：为AI时代个人创业者提供可复制的成功范式，激发全民创新活力</w:t>
      </w:r>
    </w:p>
    <w:p>
      <w:pPr>
        <w:pStyle w:val="Heading2"/>
        <w:spacing w:before="240" w:after="80"/>
      </w:pPr>
      <w:r>
        <w:rPr>
          <w:rFonts w:ascii="微软雅黑" w:hAnsi="微软雅黑" w:eastAsia="微软雅黑"/>
          <w:b/>
          <w:color w:val="2B579A"/>
          <w:sz w:val="28"/>
        </w:rPr>
        <w:t>8.3 推动行业进步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提升效率：投研效率提升10倍，推动行业生产力变革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降低风险：实时风控预警，减少金融风险事件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促进合规：合规引擎内嵌，提升行业合规水平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技术示范：Agentic AI在金融领域的标杆应用，引领行业技术方向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微软雅黑" w:hAnsi="微软雅黑" w:eastAsia="微软雅黑"/>
          <w:b/>
          <w:color w:val="1A3C6E"/>
          <w:sz w:val="36"/>
        </w:rPr>
        <w:t>九、知识产权</w:t>
      </w:r>
    </w:p>
    <w:p>
      <w:pPr>
        <w:pStyle w:val="Heading2"/>
        <w:spacing w:before="240" w:after="80"/>
      </w:pPr>
      <w:r>
        <w:rPr>
          <w:rFonts w:ascii="微软雅黑" w:hAnsi="微软雅黑" w:eastAsia="微软雅黑"/>
          <w:b/>
          <w:color w:val="2B579A"/>
          <w:sz w:val="28"/>
        </w:rPr>
        <w:t>9.1 已申请/计划申请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984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255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1"/>
              </w:rPr>
              <w:t>软件著作权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1"/>
              </w:rPr>
              <w:t>FinAgent Pro金融自主智能体平台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1"/>
              </w:rPr>
              <w:t>申请中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1"/>
              </w:rPr>
              <w:t>发明专利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1"/>
              </w:rPr>
              <w:t>基于ReAct的多智能体金融分析方法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1"/>
              </w:rPr>
              <w:t>计划申请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1"/>
              </w:rPr>
              <w:t>发明专利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1"/>
              </w:rPr>
              <w:t>金融合规引擎自动审查方法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1"/>
              </w:rPr>
              <w:t>计划申请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1"/>
              </w:rPr>
              <w:t>发明专利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1"/>
              </w:rPr>
              <w:t>多智能体加权协商决策方法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1"/>
              </w:rPr>
              <w:t>计划申请</w:t>
            </w:r>
          </w:p>
        </w:tc>
      </w:tr>
    </w:tbl>
    <w:p>
      <w:pPr>
        <w:pStyle w:val="Heading2"/>
        <w:spacing w:before="240" w:after="80"/>
      </w:pPr>
      <w:r>
        <w:rPr>
          <w:rFonts w:ascii="微软雅黑" w:hAnsi="微软雅黑" w:eastAsia="微软雅黑"/>
          <w:b/>
          <w:color w:val="2B579A"/>
          <w:sz w:val="28"/>
        </w:rPr>
        <w:t>9.2 开源策略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核心引擎闭源：ReAct推理引擎、合规引擎等核心组件闭源，保持技术壁垒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工具层开源：通用工具组件（技术分析、NLP等）开源，建设开发者生态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SDK开放：提供Agent SDK，支持第三方开发自定义智能体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数据接口开放：提供标准化数据API，方便第三方集成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微软雅黑" w:hAnsi="微软雅黑" w:eastAsia="微软雅黑"/>
          <w:b/>
          <w:color w:val="1A3C6E"/>
          <w:sz w:val="36"/>
        </w:rPr>
        <w:t>十、承诺与声明</w:t>
      </w:r>
    </w:p>
    <w:p>
      <w:pPr>
        <w:spacing w:line="400" w:lineRule="exact" w:after="80"/>
      </w:pPr>
      <w:r>
        <w:rPr>
          <w:rFonts w:ascii="微软雅黑" w:hAnsi="微软雅黑" w:eastAsia="微软雅黑"/>
          <w:color w:val="000000"/>
          <w:sz w:val="21"/>
        </w:rPr>
        <w:t>本人冯亦根作为智融先锋团队（OPC一人团队）负责人，郑重承诺：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一、本项目为原创项目，不存在抄袭、剽窃等知识产权纠纷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二、本项目所提交的所有材料真实、准确、完整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三、本人将严格遵守大赛规则，公平竞争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四、本项目如获资助，将严格按照计划使用资金，接受监督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五、本人将积极推动项目落地，实现社会价值和商业价值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六、本项目所有AI生成内容均经过人工审核，确保合规性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七、本项目不提供直接投资建议，所有分析结果仅供参考</w:t>
      </w:r>
    </w:p>
    <w:p/>
    <w:p/>
    <w:p>
      <w:pPr>
        <w:jc w:val="right"/>
      </w:pPr>
      <w:r>
        <w:rPr>
          <w:rFonts w:ascii="微软雅黑" w:hAnsi="微软雅黑" w:eastAsia="微软雅黑"/>
          <w:color w:val="000000"/>
          <w:sz w:val="24"/>
        </w:rPr>
        <w:t>项目负责人：冯亦根</w:t>
      </w:r>
    </w:p>
    <w:p>
      <w:pPr>
        <w:jc w:val="right"/>
      </w:pPr>
      <w:r>
        <w:rPr>
          <w:rFonts w:ascii="微软雅黑" w:hAnsi="微软雅黑" w:eastAsia="微软雅黑"/>
          <w:color w:val="000000"/>
          <w:sz w:val="24"/>
        </w:rPr>
        <w:t>团队名称：智融先锋</w:t>
      </w:r>
    </w:p>
    <w:p>
      <w:pPr>
        <w:jc w:val="right"/>
      </w:pPr>
      <w:r>
        <w:rPr>
          <w:rFonts w:ascii="微软雅黑" w:hAnsi="微软雅黑" w:eastAsia="微软雅黑"/>
          <w:color w:val="000000"/>
          <w:sz w:val="24"/>
        </w:rPr>
        <w:t>日期：2026年6月</w:t>
      </w:r>
    </w:p>
    <w:sectPr w:rsidR="00FC693F" w:rsidRPr="0006063C" w:rsidSect="00034616">
      <w:head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555555"/>
        <w:sz w:val="18"/>
      </w:rPr>
      <w:t>AFAC2026 项目申报书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