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color w:val="1B3A6B"/>
          <w:sz w:val="72"/>
        </w:rPr>
        <w:t>FinAgent Pro</w:t>
      </w:r>
    </w:p>
    <w:p>
      <w:pPr>
        <w:jc w:val="center"/>
      </w:pPr>
      <w:r>
        <w:rPr>
          <w:rFonts w:ascii="SimHei" w:hAnsi="SimHei" w:eastAsia="SimHei"/>
          <w:color w:val="2B579A"/>
          <w:sz w:val="48"/>
        </w:rPr>
        <w:t>金融自主智能体平台</w:t>
      </w:r>
    </w:p>
    <w:p/>
    <w:p>
      <w:pPr>
        <w:jc w:val="center"/>
      </w:pPr>
      <w:r>
        <w:rPr>
          <w:color w:val="2B579A"/>
          <w:sz w:val="28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SimHei" w:hAnsi="SimHei" w:eastAsia="SimHei"/>
          <w:color w:val="3A6EA5"/>
          <w:sz w:val="40"/>
        </w:rPr>
        <w:t>用户使用手册 V1.0</w:t>
      </w:r>
    </w:p>
    <w:p/>
    <w:p/>
    <w:p/>
    <w:p>
      <w:pPr>
        <w:jc w:val="center"/>
      </w:pPr>
      <w:r>
        <w:rPr>
          <w:rFonts w:ascii="SimSun" w:hAnsi="SimSun" w:eastAsia="SimSun"/>
          <w:color w:val="555555"/>
          <w:sz w:val="28"/>
        </w:rPr>
        <w:t>AFAC2026金融智能创新大赛参赛项目</w:t>
      </w:r>
    </w:p>
    <w:p>
      <w:pPr>
        <w:jc w:val="center"/>
      </w:pPr>
      <w:r>
        <w:rPr>
          <w:rFonts w:ascii="SimSun" w:hAnsi="SimSun" w:eastAsia="SimSun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第1章  产品概述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1.1  产品简介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1.2  核心特性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1.3  适用场景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第2章  系统要求与安装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2.1  环境要求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2.2  后端安装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2.3  前端安装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2.4  Docker部署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2.5  环境变量说明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第3章  功能使用指南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3.1  工作台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3.2  股票分析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3.3  数字员工对话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3.4  智能体管理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3.5  报告中心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3.6  预警中心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第4章  API接口文档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4.1  认证方式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4.2  股票分析接口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4.3  对话接口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4.4  市场数据接口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4.5  报告接口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4.6  预警接口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4.7  定时任务接口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4.8  WebSocket接口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第5章  智能体详解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5.1  市场分析智能体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5.2  新闻舆情智能体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5.3  风控合规智能体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5.4  投资策略智能体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5.5  报告生成智能体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5.6  执行监控智能体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第6章  合规与安全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6.1  合规规则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6.2  审计日志</w:t>
      </w:r>
    </w:p>
    <w:p>
      <w:pPr>
        <w:spacing w:before="40" w:after="40"/>
      </w:pPr>
      <w:r>
        <w:rPr>
          <w:rFonts w:ascii="SimSun" w:hAnsi="SimSun" w:eastAsia="SimSun"/>
          <w:sz w:val="20"/>
        </w:rPr>
        <w:t xml:space="preserve">  6.3  数据安全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第7章  常见问题（FAQ）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附录A  信号说明</w:t>
      </w:r>
    </w:p>
    <w:p>
      <w:pPr>
        <w:spacing w:before="40" w:after="40"/>
      </w:pPr>
      <w:r>
        <w:rPr>
          <w:rFonts w:ascii="SimHei" w:hAnsi="SimHei" w:eastAsia="SimHei"/>
          <w:b/>
          <w:sz w:val="22"/>
        </w:rPr>
        <w:t>附录B  风险等级说明</w:t>
      </w:r>
    </w:p>
    <w:p>
      <w:r>
        <w:br w:type="page"/>
      </w:r>
    </w:p>
    <w:p>
      <w:pPr>
        <w:pStyle w:val="Heading1"/>
      </w:pPr>
      <w:r>
        <w:t>第1章  产品概述</w:t>
      </w:r>
    </w:p>
    <w:p>
      <w:pPr>
        <w:pStyle w:val="Heading2"/>
      </w:pPr>
      <w:r>
        <w:t>1.1  产品简介</w:t>
      </w:r>
    </w:p>
    <w:p>
      <w:r>
        <w:t>FinAgent Pro 是一款面向金融行业的</w:t>
      </w:r>
      <w:r>
        <w:rPr>
          <w:b/>
        </w:rPr>
        <w:t>自主智能体平台</w:t>
      </w:r>
      <w:r>
        <w:t>，基于大语言模型（LLM）与多智能体协作架构，为专业投资者提供全方位的智能投研服务。平台内置</w:t>
      </w:r>
      <w:r>
        <w:rPr>
          <w:b/>
        </w:rPr>
        <w:t>6大数字员工</w:t>
      </w:r>
      <w:r>
        <w:t>，分别覆盖市场分析、新闻舆情、风控合规、投资策略、报告生成与执行监控等核心业务场景。</w:t>
      </w:r>
    </w:p>
    <w:p>
      <w:r>
        <w:t>FinAgent Pro 采用 ReAct（Reasoning + Acting）推理框架，使每个智能体具备"思考-行动-观察"的闭环决策能力。同时，通过持久记忆机制，智能体可以积累历史分析经验，持续优化决策质量。</w:t>
      </w:r>
    </w:p>
    <w:p>
      <w:r>
        <w:t>平台核心定位：让金融分析从"人工驱动"升级为"AI驱动"，实现从数据采集、分析推理、合规审查到报告输出的全链路智能化。</w:t>
      </w:r>
    </w:p>
    <w:p>
      <w:pPr>
        <w:pStyle w:val="Heading2"/>
      </w:pPr>
      <w:r>
        <w:t>1.2  核心特性</w:t>
      </w:r>
    </w:p>
    <w:p>
      <w:pPr>
        <w:pStyle w:val="ListBullet"/>
        <w:ind w:left="720"/>
      </w:pPr>
      <w:r>
        <w:rPr>
          <w:b/>
        </w:rPr>
        <w:t>ReAct推理引擎：</w:t>
      </w:r>
      <w:r>
        <w:t>每个智能体基于 ReAct（Reasoning + Acting）范式，实现“思考→行动→观察”的闭环推理，确保每一步决策有据可依、可追溯。</w:t>
      </w:r>
    </w:p>
    <w:p>
      <w:pPr>
        <w:pStyle w:val="ListBullet"/>
        <w:ind w:left="720"/>
      </w:pPr>
      <w:r>
        <w:rPr>
          <w:b/>
        </w:rPr>
        <w:t>持久记忆机制：</w:t>
      </w:r>
      <w:r>
        <w:t>智能体具备长期记忆能力，可积累历史分析经验与用户偏好，持续优化决策质量，避免重复分析。</w:t>
      </w:r>
    </w:p>
    <w:p>
      <w:pPr>
        <w:pStyle w:val="ListBullet"/>
        <w:ind w:left="720"/>
      </w:pPr>
      <w:r>
        <w:rPr>
          <w:b/>
        </w:rPr>
        <w:t>主动智能推送：</w:t>
      </w:r>
      <w:r>
        <w:t>执行监控智能体定时巡检市场异动，主动触发预警和报告生成，从“被动响应”升级为“主动服务”。</w:t>
      </w:r>
    </w:p>
    <w:p>
      <w:pPr>
        <w:pStyle w:val="ListBullet"/>
        <w:ind w:left="720"/>
      </w:pPr>
      <w:r>
        <w:rPr>
          <w:b/>
        </w:rPr>
        <w:t>合规规则内嵌：</w:t>
      </w:r>
      <w:r>
        <w:t>内置单股集中度10%、行业集中度30%、创业板限制20%、ST股禁止等合规规则，所有投资建议均经过合规审查。</w:t>
      </w:r>
    </w:p>
    <w:p>
      <w:pPr>
        <w:pStyle w:val="ListBullet"/>
        <w:ind w:left="720"/>
      </w:pPr>
      <w:r>
        <w:rPr>
          <w:b/>
        </w:rPr>
        <w:t>多智能体协商：</w:t>
      </w:r>
      <w:r>
        <w:t>6大专业智能体并行分析、交叉验证，通过加权信号协商机制生成最终投资建议，避免单一视角偏差。</w:t>
      </w:r>
    </w:p>
    <w:p>
      <w:pPr>
        <w:pStyle w:val="ListBullet"/>
        <w:ind w:left="720"/>
      </w:pPr>
      <w:r>
        <w:rPr>
          <w:b/>
        </w:rPr>
        <w:t>思维链可视化：</w:t>
      </w:r>
      <w:r>
        <w:t>完整展示每个智能体的推理步骤（Thought→Action→Observation），让AI决策过程透明可解释。</w:t>
      </w:r>
    </w:p>
    <w:p>
      <w:pPr>
        <w:pStyle w:val="Heading2"/>
      </w:pPr>
      <w:r>
        <w:t>1.3  适用场景</w:t>
      </w:r>
    </w:p>
    <w:p>
      <w:pPr>
        <w:pStyle w:val="ListBullet"/>
        <w:ind w:left="720"/>
      </w:pPr>
      <w:r>
        <w:rPr>
          <w:b/>
        </w:rPr>
        <w:t>券商研究所：</w:t>
      </w:r>
      <w:r>
        <w:t>自动化研报生成、个股深度分析、行业热点追踪，提升分析师工作效率3-5倍。</w:t>
      </w:r>
    </w:p>
    <w:p>
      <w:pPr>
        <w:pStyle w:val="ListBullet"/>
        <w:ind w:left="720"/>
      </w:pPr>
      <w:r>
        <w:rPr>
          <w:b/>
        </w:rPr>
        <w:t>基金公司：</w:t>
      </w:r>
      <w:r>
        <w:t>组合风险监控、合规审查自动化、投资建议生成，降低合规风险与运营成本。</w:t>
      </w:r>
    </w:p>
    <w:p>
      <w:pPr>
        <w:pStyle w:val="ListBullet"/>
        <w:ind w:left="720"/>
      </w:pPr>
      <w:r>
        <w:rPr>
          <w:b/>
        </w:rPr>
        <w:t>银行理财：</w:t>
      </w:r>
      <w:r>
        <w:t>理财产品风险评估、市场异动预警、客户画像分析，增强风控能力。</w:t>
      </w:r>
    </w:p>
    <w:p>
      <w:pPr>
        <w:pStyle w:val="ListBullet"/>
        <w:ind w:left="720"/>
      </w:pPr>
      <w:r>
        <w:rPr>
          <w:b/>
        </w:rPr>
        <w:t>个人投资者：</w:t>
      </w:r>
      <w:r>
        <w:t>智能选股辅助、实时预警提醒、个性化投资建议，降低信息不对称。</w:t>
      </w:r>
    </w:p>
    <w:p>
      <w:r>
        <w:br w:type="page"/>
      </w:r>
    </w:p>
    <w:p>
      <w:pPr>
        <w:pStyle w:val="Heading1"/>
      </w:pPr>
      <w:r>
        <w:t>第2章  系统要求与安装</w:t>
      </w:r>
    </w:p>
    <w:p>
      <w:pPr>
        <w:pStyle w:val="Heading2"/>
      </w:pPr>
      <w:r>
        <w:t>2.1 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最低版本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推荐版本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3.12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3.12+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后端运行环境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18.0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20.x LTS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前端构建环境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7-alpine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可选，缓存与消息队列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24.0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最新版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可选，容器化部署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Docker Compose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2.20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最新版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可选，编排容器服务</w:t>
            </w:r>
          </w:p>
        </w:tc>
      </w:tr>
    </w:tbl>
    <w:p>
      <w:pPr>
        <w:pStyle w:val="Heading2"/>
      </w:pPr>
      <w:r>
        <w:t>2.2  后端安装</w:t>
      </w:r>
    </w:p>
    <w:p>
      <w:r>
        <w:t>1. 克隆项目并进入后端目录：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git clone &lt;repository_url&gt;</w:t>
        <w:br/>
        <w:t>cd FinAgent-Pro/backend</w:t>
      </w:r>
    </w:p>
    <w:p>
      <w:r>
        <w:t>2. 安装Python依赖：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pip install -r requirements.txt</w:t>
      </w:r>
    </w:p>
    <w:p>
      <w:r>
        <w:t>3. 配置环境变量（复制示例文件并修改）：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cp .env.example .env</w:t>
        <w:br/>
        <w:t># 编辑 .env 文件，填入API密钥等配置</w:t>
      </w:r>
    </w:p>
    <w:p>
      <w:r>
        <w:t>4. 启动后端服务：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uvicorn main:app --host 0.0.0.0 --port 8000 --reload</w:t>
      </w:r>
    </w:p>
    <w:p>
      <w:pPr>
        <w:pStyle w:val="Heading2"/>
      </w:pPr>
      <w:r>
        <w:t>2.3  前端安装</w:t>
      </w:r>
    </w:p>
    <w:p>
      <w:r>
        <w:t>1. 进入前端目录并安装依赖：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cd FinAgent-Pro/frontend</w:t>
        <w:br/>
        <w:t>npm install</w:t>
      </w:r>
    </w:p>
    <w:p>
      <w:r>
        <w:t>2. 启动开发服务器：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npm run dev</w:t>
      </w:r>
    </w:p>
    <w:p>
      <w:r>
        <w:t>3. 访问 http://localhost:5173 即可使用前端界面。</w:t>
      </w:r>
    </w:p>
    <w:p>
      <w:pPr>
        <w:pStyle w:val="Heading2"/>
      </w:pPr>
      <w:r>
        <w:t>2.4  Docker部署</w:t>
      </w:r>
    </w:p>
    <w:p>
      <w:r>
        <w:t>使用 Docker Compose 一键部署（包含后端API + Redis）：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docker-compose up -d</w:t>
      </w:r>
    </w:p>
    <w:p>
      <w:r>
        <w:t>服务启动后，API地址为 http://localhost:8000，前端需单独启动或配置反向代理。</w:t>
      </w:r>
    </w:p>
    <w:p>
      <w:pPr>
        <w:pStyle w:val="Heading2"/>
      </w:pPr>
      <w:r>
        <w:t>2.5  环境变量说明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LLM_PROVIDER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glm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主LLM提供商：glm / deepseek / sensenova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LLM_ENABLED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是否启用LLM增强推理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GLM_API_KEY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智谱AI API密钥（GLM-5.1主力模型）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GLM_BASE_URL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https://api.edgefn.net/v1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智谱AI API地址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GLM_MODEL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GLM-5.1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智谱AI模型名称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DEEPSEEK_API_KEY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DeepSeek API密钥（深度推理备选）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DEEPSEEK_BASE_URL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https://api.deepseek.com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DeepSeek API地址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DEEPSEEK_MODEL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DeepSeek模型名称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SENSENOVA_API_KEY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商汤日日新API密钥（轻量快速模型）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SENSENOVA_BASE_URL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https://token.sensenova.cn/v1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商汤日日新API地址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SENSENOVA_MODEL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sensenova-6.7-flash-lite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商汤日日新模型名称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TUSHARE_TOKEN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Tushare数据源Token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NEWSAPI_KEY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新闻API密钥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DATABASE_URL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sqlite:///./finagent.db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数据库连接字符串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REDIS_URL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redis://localhost:6379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Redis连接地址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DEBUG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调试模式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SECRET_KEY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应用密钥（生产环境务必修改）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API_ACCESS_KEY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API访问密钥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API_ACCESS_ENABLED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是否启用API访问控制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COMPLIANCE_ENABLED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是否启用合规检查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MAX_SINGLE_STOCK_RATIO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单股集中度上限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MAX_SECTOR_RATIO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0.30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行业集中度上限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MAX_GEM_RATIO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0.20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创业板持仓上限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SCHEDULER_ENABLED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是否启用定时任务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MORNING_REPORT_TIME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08:30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晨报生成时间</w:t>
            </w:r>
          </w:p>
        </w:tc>
      </w:tr>
      <w:tr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EVENING_REPORT_TIME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17:00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晚报生成时间</w:t>
            </w:r>
          </w:p>
        </w:tc>
      </w:tr>
    </w:tbl>
    <w:p>
      <w:r>
        <w:br w:type="page"/>
      </w:r>
    </w:p>
    <w:p>
      <w:pPr>
        <w:pStyle w:val="Heading1"/>
      </w:pPr>
      <w:r>
        <w:t>第3章  功能使用指南</w:t>
      </w:r>
    </w:p>
    <w:p>
      <w:pPr>
        <w:pStyle w:val="Heading2"/>
      </w:pPr>
      <w:r>
        <w:t>3.1  工作台</w:t>
      </w:r>
    </w:p>
    <w:p>
      <w:r>
        <w:t>工作台是FinAgent Pro的主界面，提供全局视角的金融数据概览与快速操作入口。主要包含以下模块：</w:t>
      </w:r>
    </w:p>
    <w:p>
      <w:pPr>
        <w:pStyle w:val="ListBullet"/>
        <w:ind w:left="720"/>
      </w:pPr>
      <w:r>
        <w:rPr>
          <w:b/>
        </w:rPr>
        <w:t>市场概览卡片：</w:t>
      </w:r>
      <w:r>
        <w:t>实时展示上证指数、深证成指、创业板指等主要指数的行情数据，包括涨跌幅、成交量等关键指标。</w:t>
      </w:r>
    </w:p>
    <w:p>
      <w:pPr>
        <w:pStyle w:val="ListBullet"/>
        <w:ind w:left="720"/>
      </w:pPr>
      <w:r>
        <w:rPr>
          <w:b/>
        </w:rPr>
        <w:t>快速分析入口：</w:t>
      </w:r>
      <w:r>
        <w:t>提供股票代码输入框，支持一键发起综合分析，快速获取投资建议。</w:t>
      </w:r>
    </w:p>
    <w:p>
      <w:pPr>
        <w:pStyle w:val="ListBullet"/>
        <w:ind w:left="720"/>
      </w:pPr>
      <w:r>
        <w:rPr>
          <w:b/>
        </w:rPr>
        <w:t>智能体状态面板：</w:t>
      </w:r>
      <w:r>
        <w:t>实时显示6大数字员工的运行状态（空闲/分析中/异常），方便监控系统健康度。</w:t>
      </w:r>
    </w:p>
    <w:p>
      <w:pPr>
        <w:pStyle w:val="ListBullet"/>
        <w:ind w:left="720"/>
      </w:pPr>
      <w:r>
        <w:rPr>
          <w:b/>
        </w:rPr>
        <w:t>预警摘要：</w:t>
      </w:r>
      <w:r>
        <w:t>汇总最近的高优先级预警信息，包括价格异动、风险预警、合规提醒等，支持点击查看详情。</w:t>
      </w:r>
    </w:p>
    <w:p>
      <w:pPr>
        <w:pStyle w:val="Heading2"/>
      </w:pPr>
      <w:r>
        <w:t>3.2  股票分析</w:t>
      </w:r>
    </w:p>
    <w:p>
      <w:r>
        <w:rPr>
          <w:b/>
        </w:rPr>
        <w:t>操作步骤：</w:t>
      </w:r>
    </w:p>
    <w:p>
      <w:r>
        <w:t>1. 在分析页面输入股票代码（如 600519），或通过对话界面使用自然语言提问（如"分析一下贵州茅台"）。</w:t>
      </w:r>
    </w:p>
    <w:p>
      <w:r>
        <w:t>2. 选择分析类型：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分析类型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调用智能体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综合分析（comprehensive）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全维度深度分析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市场+新闻+风控+策略</w:t>
            </w:r>
          </w:p>
        </w:tc>
      </w:tr>
      <w:tr>
        <w:tc>
          <w:tcPr>
            <w:tcW w:type="dxa" w:w="2268"/>
            <w:shd w:fill="E8EEF7"/>
          </w:tcPr>
          <w:p>
            <w:r/>
            <w:r>
              <w:rPr>
                <w:sz w:val="18"/>
              </w:rPr>
              <w:t>快速分析（quick）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仅市场技术面快速扫描</w:t>
            </w:r>
          </w:p>
        </w:tc>
        <w:tc>
          <w:tcPr>
            <w:tcW w:type="dxa" w:w="2268"/>
            <w:shd w:fill="E8EEF7"/>
          </w:tcPr>
          <w:p>
            <w:r/>
            <w:r>
              <w:rPr>
                <w:sz w:val="18"/>
              </w:rPr>
              <w:t>市场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技术分析（technical）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侧重技术指标分析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市场</w:t>
            </w:r>
          </w:p>
        </w:tc>
      </w:tr>
      <w:tr>
        <w:tc>
          <w:tcPr>
            <w:tcW w:type="dxa" w:w="2268"/>
            <w:shd w:fill="E8EEF7"/>
          </w:tcPr>
          <w:p>
            <w:r/>
            <w:r>
              <w:rPr>
                <w:sz w:val="18"/>
              </w:rPr>
              <w:t>基本面分析（fundamental）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侧重财务指标分析</w:t>
            </w:r>
          </w:p>
        </w:tc>
        <w:tc>
          <w:tcPr>
            <w:tcW w:type="dxa" w:w="2268"/>
            <w:shd w:fill="E8EEF7"/>
          </w:tcPr>
          <w:p>
            <w:r/>
            <w:r>
              <w:rPr>
                <w:sz w:val="18"/>
              </w:rPr>
              <w:t>市场</w:t>
            </w:r>
          </w:p>
        </w:tc>
      </w:tr>
    </w:tbl>
    <w:p>
      <w:r>
        <w:t>3. 查看分析结果：系统将展示6大智能体的分析结果，包括信号（买入/卖出/持有）、置信度（0-1）、关键发现与风险因素。</w:t>
      </w:r>
    </w:p>
    <w:p>
      <w:r>
        <w:t>4. 解读信号与置信度：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置信度参考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strong_buy / 强烈买入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多维度强烈看多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≥ 0.8</w:t>
            </w:r>
          </w:p>
        </w:tc>
      </w:tr>
      <w:tr>
        <w:tc>
          <w:tcPr>
            <w:tcW w:type="dxa" w:w="2268"/>
            <w:shd w:fill="E8EEF7"/>
          </w:tcPr>
          <w:p>
            <w:r/>
            <w:r>
              <w:rPr>
                <w:sz w:val="18"/>
              </w:rPr>
              <w:t>buy / 买入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偏多，可考虑建仓</w:t>
            </w:r>
          </w:p>
        </w:tc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0.5 - 0.8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hold / 持有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中性，建议观望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0.3 - 0.5</w:t>
            </w:r>
          </w:p>
        </w:tc>
      </w:tr>
      <w:tr>
        <w:tc>
          <w:tcPr>
            <w:tcW w:type="dxa" w:w="2268"/>
            <w:shd w:fill="E8EEF7"/>
          </w:tcPr>
          <w:p>
            <w:r/>
            <w:r>
              <w:rPr>
                <w:sz w:val="18"/>
              </w:rPr>
              <w:t>sell / 卖出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偏空，建议减仓</w:t>
            </w:r>
          </w:p>
        </w:tc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0.2 - 0.5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strong_sell / 强烈卖出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多维度强烈看空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≥ 0.8</w:t>
            </w:r>
          </w:p>
        </w:tc>
      </w:tr>
    </w:tbl>
    <w:p>
      <w:pPr>
        <w:pStyle w:val="Heading2"/>
      </w:pPr>
      <w:r>
        <w:t>3.3  数字员工对话</w:t>
      </w:r>
    </w:p>
    <w:p>
      <w:r>
        <w:t>FinAgent Pro 提供</w:t>
      </w:r>
      <w:r>
        <w:rPr>
          <w:b/>
        </w:rPr>
        <w:t>对话式交互</w:t>
      </w:r>
      <w:r>
        <w:t>界面，用户可以使用自然语言与数字员工进行交流。</w:t>
      </w:r>
    </w:p>
    <w:p>
      <w:r>
        <w:rPr>
          <w:b/>
        </w:rPr>
        <w:t>核心能力：</w:t>
      </w:r>
    </w:p>
    <w:p>
      <w:pPr>
        <w:pStyle w:val="ListBullet"/>
        <w:ind w:left="720"/>
      </w:pPr>
      <w:r>
        <w:rPr>
          <w:b/>
        </w:rPr>
        <w:t>自然语言提问：</w:t>
      </w:r>
      <w:r>
        <w:t>支持中文自然语言输入，如“贵州茅台最近怎么样？”“帮我看看600519的风险”。</w:t>
      </w:r>
    </w:p>
    <w:p>
      <w:pPr>
        <w:pStyle w:val="ListBullet"/>
        <w:ind w:left="720"/>
      </w:pPr>
      <w:r>
        <w:rPr>
          <w:b/>
        </w:rPr>
        <w:t>智能意图识别：</w:t>
      </w:r>
      <w:r>
        <w:t>自动识别用户意图（分析股票/市场概览/风险检查/通用对话），路由到对应智能体。</w:t>
      </w:r>
    </w:p>
    <w:p>
      <w:pPr>
        <w:pStyle w:val="ListBullet"/>
        <w:ind w:left="720"/>
      </w:pPr>
      <w:r>
        <w:rPr>
          <w:b/>
        </w:rPr>
        <w:t>思维链实时展示：</w:t>
      </w:r>
      <w:r>
        <w:t>对话过程中实时展示智能体的推理步骤（Thought→Action→Observation），让AI思考过程透明可见。</w:t>
      </w:r>
    </w:p>
    <w:p>
      <w:pPr>
        <w:pStyle w:val="ListBullet"/>
        <w:ind w:left="720"/>
      </w:pPr>
      <w:r>
        <w:rPr>
          <w:b/>
        </w:rPr>
        <w:t>股票代码自动提取：</w:t>
      </w:r>
      <w:r>
        <w:t>支持6位数字代码和常见股票名称（如“茅台”→600519，“宁德时代”→300750）。</w:t>
      </w:r>
    </w:p>
    <w:p>
      <w:r>
        <w:rPr>
          <w:b/>
        </w:rPr>
        <w:t>示例对话：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用户：分析一下贵州茅台</w:t>
        <w:br/>
        <w:br/>
        <w:t>AI：📊 600519 分析完成！</w:t>
        <w:br/>
        <w:t>建议: buy（买入）</w:t>
        <w:br/>
        <w:t>置信度: 72%</w:t>
        <w:br/>
        <w:t>理由: 基于市场分析、新闻舆情、风控合规3个专业智能体的综合分析...</w:t>
        <w:br/>
        <w:t>风险等级: medium（中等风险）</w:t>
      </w:r>
    </w:p>
    <w:p>
      <w:pPr>
        <w:pStyle w:val="Heading2"/>
      </w:pPr>
      <w:r>
        <w:t>3.4  智能体管理</w:t>
      </w:r>
    </w:p>
    <w:p>
      <w:r>
        <w:t>智能体管理页面提供6大数字员工的运行状态监控与管理功能：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智能体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类型标识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状态监控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市场分析智能体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market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技术指标+基本面+资金流向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新闻舆情智能体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news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新闻采集+情绪分析+事件提取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风控合规智能体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risk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4维风控+合规规则引擎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投资策略智能体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strategy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仓位建议+目标价+组合分析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报告生成智能体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report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5种报告模板自动生成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执行监控智能体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execution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定时巡检+主动预警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✓</w:t>
            </w:r>
          </w:p>
        </w:tc>
      </w:tr>
    </w:tbl>
    <w:p>
      <w:r>
        <w:t>每个智能体可查看：执行统计（调用次数/成功率/平均耗时）、工具列表、最近执行记录等。</w:t>
      </w:r>
    </w:p>
    <w:p>
      <w:pPr>
        <w:pStyle w:val="Heading2"/>
      </w:pPr>
      <w:r>
        <w:t>3.5  报告中心</w:t>
      </w:r>
    </w:p>
    <w:p>
      <w:r>
        <w:t>报告中心支持</w:t>
      </w:r>
      <w:r>
        <w:rPr>
          <w:b/>
        </w:rPr>
        <w:t>5种报告类型</w:t>
      </w:r>
      <w:r>
        <w:t>的一键生成：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生成方式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晨报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morning_daily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每日市场概览与重要资讯汇总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定时自动 / 手动</w:t>
            </w:r>
          </w:p>
        </w:tc>
      </w:tr>
      <w:tr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研报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stock_research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个股深度研究报告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手动触发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风控周报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risk_weekly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周度风险回顾与合规统计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定时自动 / 手动</w:t>
            </w:r>
          </w:p>
        </w:tc>
      </w:tr>
      <w:tr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组合月报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portfolio_monthly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月度投资组合表现分析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定时自动 / 手动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事件快报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event_flash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重大事件即时分析报告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事件触发 / 手动</w:t>
            </w:r>
          </w:p>
        </w:tc>
      </w:tr>
    </w:tbl>
    <w:p>
      <w:pPr>
        <w:pStyle w:val="Heading2"/>
      </w:pPr>
      <w:r>
        <w:t>3.6  预警中心</w:t>
      </w:r>
    </w:p>
    <w:p>
      <w:r>
        <w:t>预警中心提供</w:t>
      </w:r>
      <w:r>
        <w:rPr>
          <w:b/>
        </w:rPr>
        <w:t>分级预警</w:t>
      </w:r>
      <w:r>
        <w:t>机制，确保用户及时获取关键信息：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预警等级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绿色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信息性提醒，无需立即行动</w:t>
            </w:r>
          </w:p>
        </w:tc>
      </w:tr>
      <w:tr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黄色</w:t>
            </w:r>
          </w:p>
        </w:tc>
        <w:tc>
          <w:tcPr>
            <w:tcW w:type="dxa" w:w="3969"/>
            <w:shd w:fill="E8EEF7"/>
          </w:tcPr>
          <w:p>
            <w:r/>
            <w:r>
              <w:rPr>
                <w:sz w:val="18"/>
              </w:rPr>
              <w:t>需关注，建议择机处理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橙色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重要预警，建议尽快处理</w:t>
            </w:r>
          </w:p>
        </w:tc>
      </w:tr>
      <w:tr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极高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红色</w:t>
            </w:r>
          </w:p>
        </w:tc>
        <w:tc>
          <w:tcPr>
            <w:tcW w:type="dxa" w:w="3969"/>
            <w:shd w:fill="E8EEF7"/>
          </w:tcPr>
          <w:p>
            <w:r/>
            <w:r>
              <w:rPr>
                <w:sz w:val="18"/>
              </w:rPr>
              <w:t>紧急预警，需立即处理</w:t>
            </w:r>
          </w:p>
        </w:tc>
      </w:tr>
    </w:tbl>
    <w:p>
      <w:r>
        <w:rPr>
          <w:b/>
        </w:rPr>
        <w:t>预警类型：</w:t>
      </w:r>
    </w:p>
    <w:p>
      <w:pPr>
        <w:pStyle w:val="ListBullet"/>
        <w:ind w:left="720"/>
      </w:pPr>
      <w:r>
        <w:rPr>
          <w:b/>
        </w:rPr>
        <w:t>价格预警（price）：</w:t>
      </w:r>
      <w:r>
        <w:t>股价突破关键价位、涨跌幅异常等。</w:t>
      </w:r>
    </w:p>
    <w:p>
      <w:pPr>
        <w:pStyle w:val="ListBullet"/>
        <w:ind w:left="720"/>
      </w:pPr>
      <w:r>
        <w:rPr>
          <w:b/>
        </w:rPr>
        <w:t>风险预警（risk）：</w:t>
      </w:r>
      <w:r>
        <w:t>波动率飙升、集中度超标、流动性不足等。</w:t>
      </w:r>
    </w:p>
    <w:p>
      <w:pPr>
        <w:pStyle w:val="ListBullet"/>
        <w:ind w:left="720"/>
      </w:pPr>
      <w:r>
        <w:rPr>
          <w:b/>
        </w:rPr>
        <w:t>新闻预警（news）：</w:t>
      </w:r>
      <w:r>
        <w:t>重大负面新闻、舆情恶化等。</w:t>
      </w:r>
    </w:p>
    <w:p>
      <w:pPr>
        <w:pStyle w:val="ListBullet"/>
        <w:ind w:left="720"/>
      </w:pPr>
      <w:r>
        <w:rPr>
          <w:b/>
        </w:rPr>
        <w:t>合规预警（compliance）：</w:t>
      </w:r>
      <w:r>
        <w:t>持仓违反合规规则、触及监管红线等。</w:t>
      </w:r>
    </w:p>
    <w:p>
      <w:r>
        <w:t>预警支持实时推送（WebSocket）和页面展示，每条预警包含：预警类型、等级、标题、详细描述、关联股票、建议操作。</w:t>
      </w:r>
    </w:p>
    <w:p>
      <w:r>
        <w:br w:type="page"/>
      </w:r>
    </w:p>
    <w:p>
      <w:pPr>
        <w:pStyle w:val="Heading1"/>
      </w:pPr>
      <w:r>
        <w:t>第4章  API接口文档</w:t>
      </w:r>
    </w:p>
    <w:p>
      <w:r>
        <w:t xml:space="preserve">FinAgent Pro 后端基于 FastAPI 构建，所有接口基础路径为 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http://localhost:8000/api</w:t>
      </w:r>
    </w:p>
    <w:p>
      <w:pPr>
        <w:pStyle w:val="Heading2"/>
      </w:pPr>
      <w:r>
        <w:t>4.1  认证方式</w:t>
      </w:r>
    </w:p>
    <w:p>
      <w:r>
        <w:t>当启用API访问控制时（API_ACCESS_ENABLED=true），需在请求头中携带访问密钥：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Authorization: Bearer &lt;API_ACCESS_KEY&gt;</w:t>
      </w:r>
    </w:p>
    <w:p>
      <w:r>
        <w:t>未启用访问控制时（默认），所有接口可直接访问。</w:t>
      </w:r>
    </w:p>
    <w:p>
      <w:pPr>
        <w:pStyle w:val="Heading2"/>
      </w:pPr>
      <w:r>
        <w:t>4.2  股票分析接口</w:t>
      </w:r>
    </w:p>
    <w:p>
      <w:r>
        <w:rPr>
          <w:b/>
        </w:rPr>
        <w:t>POST /api/analyze</w:t>
      </w:r>
      <w:r>
        <w:t xml:space="preserve">  ——  对指定股票进行多智能体综合分析</w:t>
      </w:r>
    </w:p>
    <w:p>
      <w:r>
        <w:rPr>
          <w:b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symbol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股票代码，如 600519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analysis_type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fill="E8EEF7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comprehensive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分析类型：comprehensive/quick/technical/fundamental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include_news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是否包含新闻舆情分析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include_risk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fill="E8EEF7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是否包含风控合规分析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include_strategy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是否包含投资策略建议</w:t>
            </w:r>
          </w:p>
        </w:tc>
      </w:tr>
    </w:tbl>
    <w:p>
      <w:r>
        <w:rPr>
          <w:b/>
        </w:rPr>
        <w:t>请求示例：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POST /api/analyze</w:t>
        <w:br/>
        <w:t>Content-Type: application/json</w:t>
        <w:br/>
        <w:br/>
        <w:t>{</w:t>
        <w:br/>
        <w:t xml:space="preserve">  "symbol": "600519",</w:t>
        <w:br/>
        <w:t xml:space="preserve">  "analysis_type": "comprehensive",</w:t>
        <w:br/>
        <w:t xml:space="preserve">  "include_news": true,</w:t>
        <w:br/>
        <w:t xml:space="preserve">  "include_risk": true,</w:t>
        <w:br/>
        <w:t xml:space="preserve">  "include_strategy": true</w:t>
        <w:br/>
        <w:t>}</w:t>
      </w:r>
    </w:p>
    <w:p>
      <w:r>
        <w:rPr>
          <w:b/>
        </w:rPr>
        <w:t>响应示例：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"request_id": "a1b2c3d4",</w:t>
        <w:br/>
        <w:t xml:space="preserve">  "symbol": "600519",</w:t>
        <w:br/>
        <w:t xml:space="preserve">  "company_name": "贵州茅台",</w:t>
        <w:br/>
        <w:t xml:space="preserve">  "current_price": 1688.50,</w:t>
        <w:br/>
        <w:t xml:space="preserve">  "change_percent": 1.23,</w:t>
        <w:br/>
        <w:t xml:space="preserve">  "recommendation": {</w:t>
        <w:br/>
        <w:t xml:space="preserve">    "signal": "buy",</w:t>
        <w:br/>
        <w:t xml:space="preserve">    "confidence": 0.72,</w:t>
        <w:br/>
        <w:t xml:space="preserve">    "target_price": 1780.00,</w:t>
        <w:br/>
        <w:t xml:space="preserve">    "stop_loss": 1620.00,</w:t>
        <w:br/>
        <w:t xml:space="preserve">    "reasoning": "基于3个专业智能体的综合分析...",</w:t>
        <w:br/>
        <w:t xml:space="preserve">    "key_points": ["技术面金叉信号", "基本面PE合理", "资金持续流入"],</w:t>
        <w:br/>
        <w:t xml:space="preserve">    "risk_assessment": {</w:t>
        <w:br/>
        <w:t xml:space="preserve">      "overall_risk": "medium",</w:t>
        <w:br/>
        <w:t xml:space="preserve">      "risk_score": 0.45</w:t>
        <w:br/>
        <w:t xml:space="preserve">    }</w:t>
        <w:br/>
        <w:t xml:space="preserve">  },</w:t>
        <w:br/>
        <w:t xml:space="preserve">  "agent_results": { ... },</w:t>
        <w:br/>
        <w:t xml:space="preserve">  "processing_time": 3.52</w:t>
        <w:br/>
        <w:t>}</w:t>
      </w:r>
    </w:p>
    <w:p>
      <w:pPr>
        <w:pStyle w:val="Heading2"/>
      </w:pPr>
      <w:r>
        <w:t>4.3  对话接口</w:t>
      </w:r>
    </w:p>
    <w:p>
      <w:r>
        <w:rPr>
          <w:b/>
        </w:rPr>
        <w:t>POST /api/chat</w:t>
      </w:r>
      <w:r>
        <w:t xml:space="preserve">  ——  与金融数字员工进行对话交互</w:t>
      </w:r>
    </w:p>
    <w:p>
      <w:r>
        <w:rPr>
          <w:b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用户消息内容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conversation_id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fill="E8EEF7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3969"/>
            <w:shd w:fill="E8EEF7"/>
          </w:tcPr>
          <w:p>
            <w:r/>
            <w:r>
              <w:rPr>
                <w:sz w:val="18"/>
              </w:rPr>
              <w:t>会话ID，用于多轮对话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context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上下文信息</w:t>
            </w:r>
          </w:p>
        </w:tc>
      </w:tr>
    </w:tbl>
    <w:p>
      <w:r>
        <w:rPr>
          <w:b/>
        </w:rPr>
        <w:t>请求示例：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"message": "分析一下贵州茅台",</w:t>
        <w:br/>
        <w:t xml:space="preserve">  "conversation_id": "conv_001"</w:t>
        <w:br/>
        <w:t>}</w:t>
      </w:r>
    </w:p>
    <w:p>
      <w:r>
        <w:rPr>
          <w:b/>
        </w:rPr>
        <w:t>响应示例：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"response": "📊 600519 分析完成！建议: buy，置信度: 72%...",</w:t>
        <w:br/>
        <w:t xml:space="preserve">  "agent_steps": [</w:t>
        <w:br/>
        <w:t xml:space="preserve">    {"thought": "用户想分析股票", "action": "extract_symbol", "observation": "提取到代码600519"},</w:t>
        <w:br/>
        <w:t xml:space="preserve">    {"thought": "需要综合分析", "action": "analyze_stock", "observation": "分析完成"}</w:t>
        <w:br/>
        <w:t xml:space="preserve">  ],</w:t>
        <w:br/>
        <w:t xml:space="preserve">  "related_stocks": ["600519"],</w:t>
        <w:br/>
        <w:t xml:space="preserve">  "suggestions": ["查看详细分析报告", "设置价格预警"],</w:t>
        <w:br/>
        <w:t xml:space="preserve">  "confidence": 0.72</w:t>
        <w:br/>
        <w:t>}</w:t>
      </w:r>
    </w:p>
    <w:p>
      <w:pPr>
        <w:pStyle w:val="Heading2"/>
      </w:pPr>
      <w:r>
        <w:t>4.4  市场数据接口</w:t>
      </w:r>
    </w:p>
    <w:p>
      <w:r>
        <w:rPr>
          <w:b/>
        </w:rPr>
        <w:t>GET /api/market/overview</w:t>
      </w:r>
      <w:r>
        <w:t xml:space="preserve">  ——  获取A股市场概览数据</w:t>
      </w:r>
    </w:p>
    <w:p>
      <w:r>
        <w:rPr>
          <w:b/>
        </w:rPr>
        <w:t>GET /api/stock/{symbol}</w:t>
      </w:r>
      <w:r>
        <w:t xml:space="preserve">  ——  获取单只股票的实时数据</w:t>
      </w:r>
    </w:p>
    <w:p>
      <w:r>
        <w:rPr>
          <w:b/>
        </w:rPr>
        <w:t>GET /api/stock/{symbol}/chart?period=6mo</w:t>
      </w:r>
      <w:r>
        <w:t xml:space="preserve">  ——  获取K线图数据</w:t>
      </w:r>
    </w:p>
    <w:p>
      <w:r>
        <w:t>period 参数支持：1mo / 3mo / 6mo / 1y / 2y</w:t>
      </w:r>
    </w:p>
    <w:p>
      <w:pPr>
        <w:pStyle w:val="Heading2"/>
      </w:pPr>
      <w:r>
        <w:t>4.5  报告接口</w:t>
      </w:r>
    </w:p>
    <w:p>
      <w:r>
        <w:rPr>
          <w:b/>
        </w:rPr>
        <w:t>GET /api/reports?report_type=&amp;limit=20</w:t>
      </w:r>
      <w:r>
        <w:t xml:space="preserve">  ——  获取报告列表</w:t>
      </w:r>
    </w:p>
    <w:p>
      <w:r>
        <w:rPr>
          <w:b/>
        </w:rPr>
        <w:t>POST /api/reports/generate?report_type=morning_daily&amp;symbol=600519</w:t>
      </w:r>
      <w:r>
        <w:t xml:space="preserve">  ——  生成指定类型的报告</w:t>
      </w:r>
    </w:p>
    <w:p>
      <w:r>
        <w:t>report_type 可选值：morning_daily / stock_research / risk_weekly / portfolio_monthly / event_flash</w:t>
      </w:r>
    </w:p>
    <w:p>
      <w:pPr>
        <w:pStyle w:val="Heading2"/>
      </w:pPr>
      <w:r>
        <w:t>4.6  预警接口</w:t>
      </w:r>
    </w:p>
    <w:p>
      <w:r>
        <w:rPr>
          <w:b/>
        </w:rPr>
        <w:t>GET /api/alerts?limit=20</w:t>
      </w:r>
      <w:r>
        <w:t xml:space="preserve">  ——  获取最近的预警信息列表</w:t>
      </w:r>
    </w:p>
    <w:p>
      <w:r>
        <w:t>返回数据包含：alert_id、alert_type（price/risk/news/compliance）、severity（low/medium/high/critical）、title、message、symbol、timestamp、action_suggested。</w:t>
      </w:r>
    </w:p>
    <w:p>
      <w:pPr>
        <w:pStyle w:val="Heading2"/>
      </w:pPr>
      <w:r>
        <w:t>4.7  定时任务接口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/api/tasks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获取所有定时任务列表</w:t>
            </w:r>
          </w:p>
        </w:tc>
      </w:tr>
      <w:tr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/api/tasks</w:t>
            </w:r>
          </w:p>
        </w:tc>
        <w:tc>
          <w:tcPr>
            <w:tcW w:type="dxa" w:w="3969"/>
            <w:shd w:fill="E8EEF7"/>
          </w:tcPr>
          <w:p>
            <w:r/>
            <w:r>
              <w:rPr>
                <w:sz w:val="18"/>
              </w:rPr>
              <w:t>创建新的定时任务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/api/tasks/{task_id}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删除指定定时任务</w:t>
            </w:r>
          </w:p>
        </w:tc>
      </w:tr>
    </w:tbl>
    <w:p>
      <w:r>
        <w:rPr>
          <w:b/>
        </w:rPr>
        <w:t>创建任务请求参数：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task_type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任务类型：morning_report / evening_report / risk_scan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cron_expression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fill="E8EEF7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3969"/>
            <w:shd w:fill="E8EEF7"/>
          </w:tcPr>
          <w:p>
            <w:r/>
            <w:r>
              <w:rPr>
                <w:sz w:val="18"/>
              </w:rPr>
              <w:t>Cron表达式，如 '0 8 * * 1-5'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params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任务参数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enabled</w:t>
            </w:r>
          </w:p>
        </w:tc>
        <w:tc>
          <w:tcPr>
            <w:tcW w:type="dxa" w:w="1134"/>
            <w:shd w:fill="E8EEF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fill="E8EEF7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3969"/>
            <w:shd w:fill="E8EEF7"/>
          </w:tcPr>
          <w:p>
            <w:r/>
            <w:r>
              <w:rPr>
                <w:sz w:val="18"/>
              </w:rPr>
              <w:t>是否启用，默认 true</w:t>
            </w:r>
          </w:p>
        </w:tc>
      </w:tr>
    </w:tbl>
    <w:p>
      <w:pPr>
        <w:pStyle w:val="Heading2"/>
      </w:pPr>
      <w:r>
        <w:t>4.8  WebSocket接口</w:t>
      </w:r>
    </w:p>
    <w:p>
      <w:r>
        <w:rPr>
          <w:b/>
        </w:rPr>
        <w:t>WS /api/ws</w:t>
      </w:r>
      <w:r>
        <w:t xml:space="preserve">  ——  实时推送通道</w:t>
      </w:r>
    </w:p>
    <w:p>
      <w:r>
        <w:t>连接后可接收以下实时消息：</w:t>
      </w:r>
    </w:p>
    <w:p>
      <w:pPr>
        <w:pStyle w:val="ListBullet"/>
        <w:ind w:left="720"/>
      </w:pPr>
      <w:r>
        <w:rPr>
          <w:b/>
        </w:rPr>
        <w:t>智能体进度推送：</w:t>
      </w:r>
      <w:r>
        <w:t>分析过程中各智能体的执行状态更新。</w:t>
      </w:r>
    </w:p>
    <w:p>
      <w:pPr>
        <w:pStyle w:val="ListBullet"/>
        <w:ind w:left="720"/>
      </w:pPr>
      <w:r>
        <w:rPr>
          <w:b/>
        </w:rPr>
        <w:t>预警通知：</w:t>
      </w:r>
      <w:r>
        <w:t>实时推送新产生的预警信息。</w:t>
      </w:r>
    </w:p>
    <w:p>
      <w:pPr>
        <w:pStyle w:val="ListBullet"/>
        <w:ind w:left="720"/>
      </w:pPr>
      <w:r>
        <w:rPr>
          <w:b/>
        </w:rPr>
        <w:t>分析完成通知：</w:t>
      </w:r>
      <w:r>
        <w:t>股票分析完成后的结果推送。</w:t>
      </w:r>
    </w:p>
    <w:p>
      <w:r>
        <w:rPr>
          <w:b/>
        </w:rPr>
        <w:t>连接示例：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const ws = new WebSocket("ws://localhost:8000/api/ws");</w:t>
        <w:br/>
        <w:t>ws.onmessage = (event) =&gt; {</w:t>
        <w:br/>
        <w:t xml:space="preserve">  const data = JSON.parse(event.data);</w:t>
        <w:br/>
        <w:t xml:space="preserve">  console.log("收到推送:", data);</w:t>
        <w:br/>
        <w:t>};</w:t>
      </w:r>
    </w:p>
    <w:p>
      <w:r>
        <w:br w:type="page"/>
      </w:r>
    </w:p>
    <w:p>
      <w:pPr>
        <w:pStyle w:val="Heading1"/>
      </w:pPr>
      <w:r>
        <w:t>第5章  智能体详解</w:t>
      </w:r>
    </w:p>
    <w:p>
      <w:pPr>
        <w:pStyle w:val="Heading2"/>
      </w:pPr>
      <w:r>
        <w:t>5.1  市场分析智能体</w:t>
      </w:r>
    </w:p>
    <w:p>
      <w:r>
        <w:t>市场分析智能体（Market Analysis Agent）是FinAgent Pro的核心分析引擎，负责从技术面、基本面和资金面三个维度对股票进行全面评估。</w:t>
      </w:r>
    </w:p>
    <w:p>
      <w:r>
        <w:rPr>
          <w:b/>
        </w:rPr>
        <w:t>技术指标分析：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RSI（相对强弱指数）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衡量价格变动速度和幅度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&gt;70超买，&lt;30超卖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MACD（移动平均收敛散度）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趋势跟踪指标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金叉看多，死叉看空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KDJ（随机指标）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短期超买超卖判断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K线上穿D线为买入信号</w:t>
            </w:r>
          </w:p>
        </w:tc>
      </w:tr>
      <w:tr>
        <w:tc>
          <w:tcPr>
            <w:tcW w:type="dxa" w:w="1984"/>
            <w:shd w:fill="E8EEF7"/>
          </w:tcPr>
          <w:p>
            <w:r/>
            <w:r>
              <w:rPr>
                <w:sz w:val="18"/>
              </w:rPr>
              <w:t>布林带（Bollinger Bands）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价格波动区间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触及上轨超买，下轨超卖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ATR（平均真实波幅）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波动率度量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用于计算止损位和目标价</w:t>
            </w:r>
          </w:p>
        </w:tc>
      </w:tr>
    </w:tbl>
    <w:p>
      <w:r>
        <w:rPr>
          <w:b/>
        </w:rPr>
        <w:t>基本面分析：</w:t>
      </w:r>
    </w:p>
    <w:p>
      <w:pPr>
        <w:pStyle w:val="ListBullet"/>
        <w:ind w:left="720"/>
      </w:pPr>
      <w:r>
        <w:rPr>
          <w:b/>
        </w:rPr>
        <w:t>PE（市盈率）：</w:t>
      </w:r>
      <w:r>
        <w:t>评估估值水平，与行业均值对比。</w:t>
      </w:r>
    </w:p>
    <w:p>
      <w:pPr>
        <w:pStyle w:val="ListBullet"/>
        <w:ind w:left="720"/>
      </w:pPr>
      <w:r>
        <w:rPr>
          <w:b/>
        </w:rPr>
        <w:t>PB（市净率）：</w:t>
      </w:r>
      <w:r>
        <w:t>评估资产价值，适用于银行等重资产行业。</w:t>
      </w:r>
    </w:p>
    <w:p>
      <w:pPr>
        <w:pStyle w:val="ListBullet"/>
        <w:ind w:left="720"/>
      </w:pPr>
      <w:r>
        <w:rPr>
          <w:b/>
        </w:rPr>
        <w:t>ROE（净资产收益率）：</w:t>
      </w:r>
      <w:r>
        <w:t>评估盈利能力，持续高ROE是优质公司标志。</w:t>
      </w:r>
    </w:p>
    <w:p>
      <w:r>
        <w:rPr>
          <w:b/>
        </w:rPr>
        <w:t>资金流向分析：</w:t>
      </w:r>
      <w:r>
        <w:t>追踪主力资金进出情况，判断资金态度。</w:t>
      </w:r>
    </w:p>
    <w:p>
      <w:pPr>
        <w:pStyle w:val="Heading2"/>
      </w:pPr>
      <w:r>
        <w:t>5.2  新闻舆情智能体</w:t>
      </w:r>
    </w:p>
    <w:p>
      <w:r>
        <w:t>新闻舆情智能体（News Sentiment Agent）负责采集和分析与目标股票相关的新闻资讯和社交媒体情绪。</w:t>
      </w:r>
    </w:p>
    <w:p>
      <w:pPr>
        <w:pStyle w:val="ListBullet"/>
        <w:ind w:left="720"/>
      </w:pPr>
      <w:r>
        <w:rPr>
          <w:b/>
        </w:rPr>
        <w:t>中文新闻采集：</w:t>
      </w:r>
      <w:r>
        <w:t>通过AKShare等数据源获取A股相关新闻，覆盖财经媒体、官方公告等。</w:t>
      </w:r>
    </w:p>
    <w:p>
      <w:pPr>
        <w:pStyle w:val="ListBullet"/>
        <w:ind w:left="720"/>
      </w:pPr>
      <w:r>
        <w:rPr>
          <w:b/>
        </w:rPr>
        <w:t>社交媒体情绪：</w:t>
      </w:r>
      <w:r>
        <w:t>分析社交平台讨论热度与情绪倾向（正面/负面/中性）。</w:t>
      </w:r>
    </w:p>
    <w:p>
      <w:pPr>
        <w:pStyle w:val="ListBullet"/>
        <w:ind w:left="720"/>
      </w:pPr>
      <w:r>
        <w:rPr>
          <w:b/>
        </w:rPr>
        <w:t>事件提取：</w:t>
      </w:r>
      <w:r>
        <w:t>自动识别新闻中的关键事件（业绩预告/高管变动/政策影响等），评估事件对股价的潜在影响。</w:t>
      </w:r>
    </w:p>
    <w:p>
      <w:pPr>
        <w:pStyle w:val="Heading2"/>
      </w:pPr>
      <w:r>
        <w:t>5.3  风控合规智能体</w:t>
      </w:r>
    </w:p>
    <w:p>
      <w:r>
        <w:t>风控合规智能体（Risk Compliance Agent）提供4维度风险评估与合规规则引擎。</w:t>
      </w:r>
    </w:p>
    <w:p>
      <w:r>
        <w:rPr>
          <w:b/>
        </w:rPr>
        <w:t>4维风控体系：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评估内容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关键指标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波动率风险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价格波动程度评估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ATR、历史波动率、VaR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市场风险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系统性风险暴露程度</w:t>
            </w:r>
          </w:p>
        </w:tc>
        <w:tc>
          <w:tcPr>
            <w:tcW w:type="dxa" w:w="3118"/>
            <w:shd w:fill="E8EEF7"/>
          </w:tcPr>
          <w:p>
            <w:r/>
            <w:r>
              <w:rPr>
                <w:sz w:val="18"/>
              </w:rPr>
              <w:t>Beta系数、相关性分析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舆情风险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负面信息影响评估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负面新闻数量、情绪恶化程度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流动性风险</w:t>
            </w:r>
          </w:p>
        </w:tc>
        <w:tc>
          <w:tcPr>
            <w:tcW w:type="dxa" w:w="2551"/>
            <w:shd w:fill="E8EEF7"/>
          </w:tcPr>
          <w:p>
            <w:r/>
            <w:r>
              <w:rPr>
                <w:sz w:val="18"/>
              </w:rPr>
              <w:t>交易流动性评估</w:t>
            </w:r>
          </w:p>
        </w:tc>
        <w:tc>
          <w:tcPr>
            <w:tcW w:type="dxa" w:w="3118"/>
            <w:shd w:fill="E8EEF7"/>
          </w:tcPr>
          <w:p>
            <w:r/>
            <w:r>
              <w:rPr>
                <w:sz w:val="18"/>
              </w:rPr>
              <w:t>日均成交量、买卖价差</w:t>
            </w:r>
          </w:p>
        </w:tc>
      </w:tr>
    </w:tbl>
    <w:p>
      <w:r>
        <w:rPr>
          <w:b/>
        </w:rPr>
        <w:t>合规规则引擎：</w:t>
      </w:r>
      <w:r>
        <w:t>自动检查投资建议是否符合合规要求，详见第6章。</w:t>
      </w:r>
    </w:p>
    <w:p>
      <w:pPr>
        <w:pStyle w:val="Heading2"/>
      </w:pPr>
      <w:r>
        <w:t>5.4  投资策略智能体</w:t>
      </w:r>
    </w:p>
    <w:p>
      <w:r>
        <w:t>投资策略智能体（Strategy Agent）基于其他智能体的分析结果，生成具体的投资建议。</w:t>
      </w:r>
    </w:p>
    <w:p>
      <w:pPr>
        <w:pStyle w:val="ListBullet"/>
        <w:ind w:left="720"/>
      </w:pPr>
      <w:r>
        <w:rPr>
          <w:b/>
        </w:rPr>
        <w:t>仓位建议：</w:t>
      </w:r>
      <w:r>
        <w:t>根据风险等级和置信度，建议合理的仓位比例。</w:t>
      </w:r>
    </w:p>
    <w:p>
      <w:pPr>
        <w:pStyle w:val="ListBullet"/>
        <w:ind w:left="720"/>
      </w:pPr>
      <w:r>
        <w:rPr>
          <w:b/>
        </w:rPr>
        <w:t>目标价与止损价：</w:t>
      </w:r>
      <w:r>
        <w:t>基于ATR计算目标价（当前价 + 3×ATR）和止损价（当前价 - 2×ATR）。</w:t>
      </w:r>
    </w:p>
    <w:p>
      <w:pPr>
        <w:pStyle w:val="ListBullet"/>
        <w:ind w:left="720"/>
      </w:pPr>
      <w:r>
        <w:rPr>
          <w:b/>
        </w:rPr>
        <w:t>组合分析：</w:t>
      </w:r>
      <w:r>
        <w:t>支持持仓组合的风险评估与配置优化，通过 /api/portfolio/analyze 接口调用。</w:t>
      </w:r>
    </w:p>
    <w:p>
      <w:pPr>
        <w:pStyle w:val="Heading2"/>
      </w:pPr>
      <w:r>
        <w:t>5.5  报告生成智能体</w:t>
      </w:r>
    </w:p>
    <w:p>
      <w:r>
        <w:t>报告生成智能体（Report Agent）支持5种专业报告模板的自动生成：</w:t>
      </w:r>
    </w:p>
    <w:p>
      <w:pPr>
        <w:pStyle w:val="ListBullet"/>
        <w:ind w:left="720"/>
      </w:pPr>
      <w:r>
        <w:rPr>
          <w:b/>
        </w:rPr>
        <w:t>晨报（morning_daily）：</w:t>
      </w:r>
      <w:r>
        <w:t>每日开盘前自动生成，包含市场概览、重要资讯、异动股票。</w:t>
      </w:r>
    </w:p>
    <w:p>
      <w:pPr>
        <w:pStyle w:val="ListBullet"/>
        <w:ind w:left="720"/>
      </w:pPr>
      <w:r>
        <w:rPr>
          <w:b/>
        </w:rPr>
        <w:t>研报（stock_research）：</w:t>
      </w:r>
      <w:r>
        <w:t>个股深度研究报告，包含基本面、技术面、估值分析。</w:t>
      </w:r>
    </w:p>
    <w:p>
      <w:pPr>
        <w:pStyle w:val="ListBullet"/>
        <w:ind w:left="720"/>
      </w:pPr>
      <w:r>
        <w:rPr>
          <w:b/>
        </w:rPr>
        <w:t>风控周报（risk_weekly）：</w:t>
      </w:r>
      <w:r>
        <w:t>周度风险回顾，包含风险事件统计、合规检查结果。</w:t>
      </w:r>
    </w:p>
    <w:p>
      <w:pPr>
        <w:pStyle w:val="ListBullet"/>
        <w:ind w:left="720"/>
      </w:pPr>
      <w:r>
        <w:rPr>
          <w:b/>
        </w:rPr>
        <w:t>组合月报（portfolio_monthly）：</w:t>
      </w:r>
      <w:r>
        <w:t>月度组合表现分析，包含收益归因、风险调整收益。</w:t>
      </w:r>
    </w:p>
    <w:p>
      <w:pPr>
        <w:pStyle w:val="ListBullet"/>
        <w:ind w:left="720"/>
      </w:pPr>
      <w:r>
        <w:rPr>
          <w:b/>
        </w:rPr>
        <w:t>事件快报（event_flash）：</w:t>
      </w:r>
      <w:r>
        <w:t>重大事件即时分析，快速响应市场突发事件。</w:t>
      </w:r>
    </w:p>
    <w:p>
      <w:pPr>
        <w:pStyle w:val="Heading2"/>
      </w:pPr>
      <w:r>
        <w:t>5.6  执行监控智能体</w:t>
      </w:r>
    </w:p>
    <w:p>
      <w:r>
        <w:t>执行监控智能体（Execution Agent）是FinAgent Pro"主动智能"的核心实现，负责定时巡检和主动预警。</w:t>
      </w:r>
    </w:p>
    <w:p>
      <w:pPr>
        <w:pStyle w:val="ListBullet"/>
        <w:ind w:left="720"/>
      </w:pPr>
      <w:r>
        <w:rPr>
          <w:b/>
        </w:rPr>
        <w:t>定时巡检：</w:t>
      </w:r>
      <w:r>
        <w:t>按配置的时间表自动执行市场扫描、风险检查等任务。</w:t>
      </w:r>
    </w:p>
    <w:p>
      <w:pPr>
        <w:pStyle w:val="ListBullet"/>
        <w:ind w:left="720"/>
      </w:pPr>
      <w:r>
        <w:rPr>
          <w:b/>
        </w:rPr>
        <w:t>主动预警：</w:t>
      </w:r>
      <w:r>
        <w:t>发现异常情况（价格异动、风险超标等）时主动触发预警通知。</w:t>
      </w:r>
    </w:p>
    <w:p>
      <w:pPr>
        <w:pStyle w:val="ListBullet"/>
        <w:ind w:left="720"/>
      </w:pPr>
      <w:r>
        <w:rPr>
          <w:b/>
        </w:rPr>
        <w:t>任务调度：</w:t>
      </w:r>
      <w:r>
        <w:t>管理晨报/晚报的定时生成、定期风险扫描等周期性任务。</w:t>
      </w:r>
    </w:p>
    <w:p>
      <w:r>
        <w:br w:type="page"/>
      </w:r>
    </w:p>
    <w:p>
      <w:pPr>
        <w:pStyle w:val="Heading1"/>
      </w:pPr>
      <w:r>
        <w:t>第6章  合规与安全</w:t>
      </w:r>
    </w:p>
    <w:p>
      <w:pPr>
        <w:pStyle w:val="Heading2"/>
      </w:pPr>
      <w:r>
        <w:t>6.1  合规规则</w:t>
      </w:r>
    </w:p>
    <w:p>
      <w:r>
        <w:t>FinAgent Pro 内置完善的合规规则引擎，所有投资建议均经过合规审查。默认规则如下：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4819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单股集中度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≤ 10%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单一标的不超过组合总资产的10%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行业集中度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≤ 30%</w:t>
            </w:r>
          </w:p>
        </w:tc>
        <w:tc>
          <w:tcPr>
            <w:tcW w:type="dxa" w:w="4819"/>
            <w:shd w:fill="E8EEF7"/>
          </w:tcPr>
          <w:p>
            <w:r/>
            <w:r>
              <w:rPr>
                <w:sz w:val="18"/>
              </w:rPr>
              <w:t>单一行业不超过组合总资产的30%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创业板限制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≤ 20%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创业板股票合计不超过组合总资产的20%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ST股禁止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4819"/>
            <w:shd w:fill="E8EEF7"/>
          </w:tcPr>
          <w:p>
            <w:r/>
            <w:r>
              <w:rPr>
                <w:sz w:val="18"/>
              </w:rPr>
              <w:t>禁止买入ST/*ST股票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科创板提示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科创板涨跌幅20%，需特别关注风险</w:t>
            </w:r>
          </w:p>
        </w:tc>
      </w:tr>
    </w:tbl>
    <w:p>
      <w:r>
        <w:t>合规规则可通过环境变量动态配置（MAX_SINGLE_STOCK_RATIO、MAX_SECTOR_RATIO、MAX_GEM_RATIO），也可通过修改 compliance_service.py 添加自定义规则。</w:t>
      </w:r>
    </w:p>
    <w:p>
      <w:pPr>
        <w:pStyle w:val="Heading2"/>
      </w:pPr>
      <w:r>
        <w:t>6.2  审计日志</w:t>
      </w:r>
    </w:p>
    <w:p>
      <w:r>
        <w:t>FinAgent Pro 提供</w:t>
      </w:r>
      <w:r>
        <w:rPr>
          <w:b/>
        </w:rPr>
        <w:t>全链路审计日志</w:t>
      </w:r>
      <w:r>
        <w:t>，记录所有关键操作：</w:t>
      </w:r>
    </w:p>
    <w:p>
      <w:pPr>
        <w:pStyle w:val="ListBullet"/>
        <w:ind w:left="720"/>
      </w:pPr>
      <w:r>
        <w:t>每次股票分析的请求与结果</w:t>
      </w:r>
    </w:p>
    <w:p>
      <w:pPr>
        <w:pStyle w:val="ListBullet"/>
        <w:ind w:left="720"/>
      </w:pPr>
      <w:r>
        <w:t>所有合规检查的通过/违规记录</w:t>
      </w:r>
    </w:p>
    <w:p>
      <w:pPr>
        <w:pStyle w:val="ListBullet"/>
        <w:ind w:left="720"/>
      </w:pPr>
      <w:r>
        <w:t>预警触发与处理记录</w:t>
      </w:r>
    </w:p>
    <w:p>
      <w:pPr>
        <w:pStyle w:val="ListBullet"/>
        <w:ind w:left="720"/>
      </w:pPr>
      <w:r>
        <w:t>报告生成记录</w:t>
      </w:r>
    </w:p>
    <w:p>
      <w:pPr>
        <w:pStyle w:val="ListBullet"/>
        <w:ind w:left="720"/>
      </w:pPr>
      <w:r>
        <w:t>定时任务执行记录</w:t>
      </w:r>
    </w:p>
    <w:p>
      <w:pPr>
        <w:pStyle w:val="ListBullet"/>
        <w:ind w:left="720"/>
      </w:pPr>
      <w:r>
        <w:t>API访问日志</w:t>
      </w:r>
    </w:p>
    <w:p>
      <w:r>
        <w:t xml:space="preserve">审计日志可通过 </w:t>
      </w:r>
      <w:r>
        <w:t xml:space="preserve"> 接口查询。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8"/>
        </w:rPr>
        <w:t>GET /api/audit/log?limit=50</w:t>
      </w:r>
    </w:p>
    <w:p>
      <w:pPr>
        <w:pStyle w:val="Heading2"/>
      </w:pPr>
      <w:r>
        <w:t>6.3  数据安全</w:t>
      </w:r>
    </w:p>
    <w:p>
      <w:pPr>
        <w:pStyle w:val="ListBullet"/>
        <w:ind w:left="720"/>
      </w:pPr>
      <w:r>
        <w:rPr>
          <w:b/>
        </w:rPr>
        <w:t>国产LLM数据不出境：</w:t>
      </w:r>
      <w:r>
        <w:t>默认使用智谱AI（GLM-5.1）、DeepSeek、商汤日日新等国产大模型，确保金融数据不离开国内。</w:t>
      </w:r>
    </w:p>
    <w:p>
      <w:pPr>
        <w:pStyle w:val="ListBullet"/>
        <w:ind w:left="720"/>
      </w:pPr>
      <w:r>
        <w:rPr>
          <w:b/>
        </w:rPr>
        <w:t>敏感信息脱敏：</w:t>
      </w:r>
      <w:r>
        <w:t>API密钥等敏感配置通过环境变量管理，不硬编码在代码中；日志中自动脱敏处理。</w:t>
      </w:r>
    </w:p>
    <w:p>
      <w:pPr>
        <w:pStyle w:val="ListBullet"/>
        <w:ind w:left="720"/>
      </w:pPr>
      <w:r>
        <w:rPr>
          <w:b/>
        </w:rPr>
        <w:t>访问控制：</w:t>
      </w:r>
      <w:r>
        <w:t>支持API访问密钥认证（API_ACCESS_ENABLED），防止未授权访问。</w:t>
      </w:r>
    </w:p>
    <w:p>
      <w:pPr>
        <w:pStyle w:val="ListBullet"/>
        <w:ind w:left="720"/>
      </w:pPr>
      <w:r>
        <w:rPr>
          <w:b/>
        </w:rPr>
        <w:t>本地部署：</w:t>
      </w:r>
      <w:r>
        <w:t>支持完全本地化部署（Docker/源码），数据不经过第三方服务器。</w:t>
      </w:r>
    </w:p>
    <w:p>
      <w:r>
        <w:br w:type="page"/>
      </w:r>
    </w:p>
    <w:p>
      <w:pPr>
        <w:pStyle w:val="Heading1"/>
      </w:pPr>
      <w:r>
        <w:t>第7章  常见问题（FAQ）</w:t>
      </w:r>
    </w:p>
    <w:p>
      <w:r>
        <w:rPr>
          <w:b/>
        </w:rPr>
        <w:t>Q1：LLM服务不可用怎么办？</w:t>
      </w:r>
    </w:p>
    <w:p>
      <w:r>
        <w:t>当LLM服务不可用时（如API密钥无效、网络故障等），系统会自动降级到规则引擎模式。规则引擎模式下，智能体仍可基于技术指标计算和规则逻辑提供基础分析结果，但不会包含LLM增强的深度推理。系统会在界面上提示“LLM增强：否”，方便用户识别。</w:t>
      </w:r>
    </w:p>
    <w:p/>
    <w:p>
      <w:r>
        <w:rPr>
          <w:b/>
        </w:rPr>
        <w:t>Q2：AKShare数据获取失败怎么办？</w:t>
      </w:r>
    </w:p>
    <w:p>
      <w:r>
        <w:t>当AKShare数据源不可用时，系统会自动使用内置的模拟数据（Mock Data）进行分析，确保功能可用。模拟数据仅用于演示和测试，不代表真实行情。恢复数据源后，系统会自动切换回真实数据。</w:t>
      </w:r>
    </w:p>
    <w:p/>
    <w:p>
      <w:r>
        <w:rPr>
          <w:b/>
        </w:rPr>
        <w:t>Q3：如何添加新的合规规则？</w:t>
      </w:r>
    </w:p>
    <w:p>
      <w:r>
        <w:t>修改 backend/services/compliance_service.py 文件中的 ComplianceService 类。在 self.rules 字典中添加新规则，并在 check() 方法中添加对应的检查逻辑。修改后重启后端服务即可生效。</w:t>
      </w:r>
    </w:p>
    <w:p/>
    <w:p>
      <w:r>
        <w:rPr>
          <w:b/>
        </w:rPr>
        <w:t>Q4：如何更换LLM模型？</w:t>
      </w:r>
    </w:p>
    <w:p>
      <w:r>
        <w:t>修改 .env 文件中的 LLM_PROVIDER 变量即可切换模型：</w:t>
        <w:br/>
        <w:t>• glm —— 使用智谱AI GLM-5.1（主力模型，综合能力最强）</w:t>
        <w:br/>
        <w:t>• deepseek —— 使用DeepSeek-v4-pro（深度推理，适合复杂分析）</w:t>
        <w:br/>
        <w:t>• sensenova —— 使用商汤日日新（轻量快速，适合高频调用）</w:t>
        <w:br/>
        <w:t>修改后重启后端服务生效。</w:t>
      </w:r>
    </w:p>
    <w:p/>
    <w:p>
      <w:r>
        <w:rPr>
          <w:b/>
        </w:rPr>
        <w:t>Q5：如何自定义定时任务？</w:t>
      </w:r>
    </w:p>
    <w:p>
      <w:r>
        <w:t>有两种方式：</w:t>
        <w:br/>
        <w:t>1. 通过API创建：调用 POST /api/tasks 接口，传入 task_type、cron_expression 等参数。</w:t>
        <w:br/>
        <w:t>2. 修改代码：编辑 backend/services/scheduler_service.py，在默认任务配置中添加或修改定时任务。</w:t>
      </w:r>
    </w:p>
    <w:p/>
    <w:p>
      <w:r>
        <w:br w:type="page"/>
      </w:r>
    </w:p>
    <w:p>
      <w:pPr>
        <w:pStyle w:val="Heading1"/>
      </w:pPr>
      <w:r>
        <w:t>附录A  信号说明</w:t>
      </w:r>
    </w:p>
    <w:p>
      <w:r>
        <w:t>FinAgent Pro 使用以下5级信号体系表示投资建议方向：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信号标识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数值映射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含义说明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strong_buy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强烈买入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+1.0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多维度强烈看多，建议积极建仓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buy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买入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+0.5</w:t>
            </w:r>
          </w:p>
        </w:tc>
        <w:tc>
          <w:tcPr>
            <w:tcW w:type="dxa" w:w="3118"/>
            <w:shd w:fill="E8EEF7"/>
          </w:tcPr>
          <w:p>
            <w:r/>
            <w:r>
              <w:rPr>
                <w:sz w:val="18"/>
              </w:rPr>
              <w:t>偏多信号，可考虑适度建仓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持有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中性信号，建议观望或维持现有仓位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sell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卖出</w:t>
            </w:r>
          </w:p>
        </w:tc>
        <w:tc>
          <w:tcPr>
            <w:tcW w:type="dxa" w:w="1417"/>
            <w:shd w:fill="E8EEF7"/>
          </w:tcPr>
          <w:p>
            <w:r/>
            <w:r>
              <w:rPr>
                <w:sz w:val="18"/>
              </w:rPr>
              <w:t>-0.5</w:t>
            </w:r>
          </w:p>
        </w:tc>
        <w:tc>
          <w:tcPr>
            <w:tcW w:type="dxa" w:w="3118"/>
            <w:shd w:fill="E8EEF7"/>
          </w:tcPr>
          <w:p>
            <w:r/>
            <w:r>
              <w:rPr>
                <w:sz w:val="18"/>
              </w:rPr>
              <w:t>偏空信号，建议适度减仓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strong_sell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强烈卖出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-1.0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多维度强烈看空，建议果断清仓</w:t>
            </w:r>
          </w:p>
        </w:tc>
      </w:tr>
    </w:tbl>
    <w:p>
      <w:r>
        <w:rPr>
          <w:b/>
        </w:rPr>
        <w:t>信号生成机制：</w:t>
      </w:r>
      <w:r>
        <w:t>最终信号由各智能体信号加权平均得出。加权公式为：weighted_signal = Σ(signal_value × confidence) / Σ(confidence)。加权值 &gt; 0.5 为强烈买入，&gt; 0.2 为买入，&lt; -0.5 为强烈卖出，&lt; -0.2 为卖出，其余为持有。</w:t>
      </w:r>
    </w:p>
    <w:p>
      <w:pPr>
        <w:pStyle w:val="Heading1"/>
      </w:pPr>
      <w:r>
        <w:t>附录B  风险等级说明</w:t>
      </w:r>
    </w:p>
    <w:p>
      <w:r>
        <w:t>FinAgent Pro 使用以下4级风险等级体系：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等级标识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风险分数范围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含义说明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低风险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0.0 - 0.25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风险可控，可正常投资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中等风险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0.25 - 0.50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存在一定风险，需关注关键指标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高风险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0.50 - 0.75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风险较大，建议谨慎操作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极高风险</w:t>
            </w:r>
          </w:p>
        </w:tc>
        <w:tc>
          <w:tcPr>
            <w:tcW w:type="dxa" w:w="1701"/>
            <w:shd w:fill="E8EEF7"/>
          </w:tcPr>
          <w:p>
            <w:r/>
            <w:r>
              <w:rPr>
                <w:sz w:val="18"/>
              </w:rPr>
              <w:t>0.75 - 1.0</w:t>
            </w:r>
          </w:p>
        </w:tc>
        <w:tc>
          <w:tcPr>
            <w:tcW w:type="dxa" w:w="2835"/>
            <w:shd w:fill="E8EEF7"/>
          </w:tcPr>
          <w:p>
            <w:r/>
            <w:r>
              <w:rPr>
                <w:sz w:val="18"/>
              </w:rPr>
              <w:t>风险极高，建议立即减仓或清仓</w:t>
            </w:r>
          </w:p>
        </w:tc>
      </w:tr>
    </w:tbl>
    <w:p>
      <w:r>
        <w:rPr>
          <w:b/>
        </w:rPr>
        <w:t>风险评估维度：</w:t>
      </w:r>
      <w:r>
        <w:t>综合波动率风险、市场风险、舆情风险和流动性风险4个维度，加权计算得出总体风险分数（risk_score）和风险等级（overall_risk）。</w:t>
      </w:r>
    </w:p>
    <w:p>
      <w:pPr>
        <w:jc w:val="center"/>
      </w:pPr>
      <w: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808080"/>
        <w:sz w:val="18"/>
      </w:rPr>
      <w:t>FinAgent Pro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B3A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2B57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3A6E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