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FinAgent Pro</w:t>
      </w:r>
    </w:p>
    <w:p>
      <w:pPr>
        <w:jc w:val="center"/>
      </w:pPr>
      <w:r>
        <w:rPr>
          <w:rFonts w:ascii="微软雅黑" w:hAnsi="微软雅黑" w:eastAsia="微软雅黑"/>
          <w:color w:val="2B579A"/>
          <w:sz w:val="36"/>
        </w:rPr>
        <w:t>金融自主智能体平台 — 商业计划书</w:t>
      </w:r>
    </w:p>
    <w:p>
      <w:pPr>
        <w:jc w:val="center"/>
      </w:pPr>
      <w:r>
        <w:rPr>
          <w:color w:val="006BD6"/>
          <w:sz w:val="28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8"/>
        </w:rPr>
        <w:t>AFAC2026金融智能创新大赛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8"/>
        </w:rPr>
        <w:t>2026年6月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目  录</w:t>
      </w:r>
    </w:p>
    <w:p/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第一章  执行摘要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第二章  项目概述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color w:val="444444"/>
          <w:sz w:val="22"/>
        </w:rPr>
        <w:t xml:space="preserve">  2.1 项目背景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color w:val="444444"/>
          <w:sz w:val="22"/>
        </w:rPr>
        <w:t xml:space="preserve">  2.2 产品定位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color w:val="444444"/>
          <w:sz w:val="22"/>
        </w:rPr>
        <w:t xml:space="preserve">  2.3 核心创新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第三章  市场分析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color w:val="444444"/>
          <w:sz w:val="22"/>
        </w:rPr>
        <w:t xml:space="preserve">  3.1 市场规模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color w:val="444444"/>
          <w:sz w:val="22"/>
        </w:rPr>
        <w:t xml:space="preserve">  3.2 目标客户</w:t>
      </w:r>
    </w:p>
    <w:p>
      <w:pPr>
        <w:spacing w:before="40" w:after="40"/>
        <w:ind w:left="567"/>
      </w:pPr>
      <w:r>
        <w:rPr>
          <w:rFonts w:ascii="微软雅黑" w:hAnsi="微软雅黑" w:eastAsia="微软雅黑"/>
          <w:color w:val="444444"/>
          <w:sz w:val="22"/>
        </w:rPr>
        <w:t xml:space="preserve">  3.3 竞争格局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第四章  产品与服务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第五章  商业模式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第六章  技术方案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第七章  发展规划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第八章  融资计划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第九章  风险分析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>第十章  社会价值</w:t>
      </w:r>
    </w:p>
    <w:p>
      <w:pPr>
        <w:spacing w:before="40" w:after="40"/>
        <w:ind w:left="0"/>
      </w:pPr>
      <w:r>
        <w:rPr>
          <w:rFonts w:ascii="微软雅黑" w:hAnsi="微软雅黑" w:eastAsia="微软雅黑"/>
          <w:b/>
          <w:color w:val="1A3C6E"/>
          <w:sz w:val="22"/>
        </w:rPr>
        <w:t xml:space="preserve">  第十一章  团队介绍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第一章  执行摘要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FinAgent Pro 是一款面向金融行业的自主智能体（Agentic AI）平台，通过六大专业数字员工——市场分析师、新闻解读员、风控专员、策略顾问、交易执行员和报告撰写员——为金融机构提供7×24小时全链路智能投研服务。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1.1 项目一句话定位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FinAgent Pro = 金融行业专属的自主智能体平台，让每个金融从业者拥有6位AI数字员工。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1.2 核心价值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效率提升：投研效率提升10倍，报告生成从4小时缩短至5分钟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成本节约：人力成本降低60%，合规审查成本降低80%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风险可控：实时风控预警，合规审计全程留痕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决策赋能：多智能体协同推理，提供深度洞察而非简单信息聚合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1.3 市场机会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中国金融科技市场规模2025年预计突破500亿元，其中AI+金融细分赛道年复合增长率超过35%。随着大模型技术成熟和金融行业数字化转型加速，Agentic AI在金融领域的应用正处于爆发前夜。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1.4 融资需求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天使轮融资500万元人民币，用于产品研发、市场验证和运营储备，预计12个月内实现MVP上线并获取首批付费客户。FinAgent Pro由创始人冯亦根一人独立开发，以OPC一人团队模式高效运转。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第二章  项目概述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2.1 项目背景——金融行业痛点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当前金融行业面临四大核心痛点：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b/>
          <w:sz w:val="21"/>
        </w:rPr>
        <w:t>信息过载：</w:t>
      </w:r>
      <w:r>
        <w:rPr>
          <w:rFonts w:ascii="微软雅黑" w:hAnsi="微软雅黑" w:eastAsia="微软雅黑"/>
          <w:sz w:val="21"/>
        </w:rPr>
        <w:t>信息过载：每日数万条金融资讯，分析师无法有效筛选和消化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b/>
          <w:sz w:val="21"/>
        </w:rPr>
        <w:t>人力依赖：</w:t>
      </w:r>
      <w:r>
        <w:rPr>
          <w:rFonts w:ascii="微软雅黑" w:hAnsi="微软雅黑" w:eastAsia="微软雅黑"/>
          <w:sz w:val="21"/>
        </w:rPr>
        <w:t>人力依赖：投研报告高度依赖人工撰写，效率低下且质量参差不齐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b/>
          <w:sz w:val="21"/>
        </w:rPr>
        <w:t>风控滞后：</w:t>
      </w:r>
      <w:r>
        <w:rPr>
          <w:rFonts w:ascii="微软雅黑" w:hAnsi="微软雅黑" w:eastAsia="微软雅黑"/>
          <w:sz w:val="21"/>
        </w:rPr>
        <w:t>风控滞后：传统风控以事后审查为主，缺乏实时预警能力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b/>
          <w:sz w:val="21"/>
        </w:rPr>
        <w:t>合规压力：</w:t>
      </w:r>
      <w:r>
        <w:rPr>
          <w:rFonts w:ascii="微软雅黑" w:hAnsi="微软雅黑" w:eastAsia="微软雅黑"/>
          <w:sz w:val="21"/>
        </w:rPr>
        <w:t>合规压力：监管要求日趋严格，合规审查工作量剧增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2.2 产品定位——六大数字员工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55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数字员工</w:t>
            </w:r>
          </w:p>
        </w:tc>
        <w:tc>
          <w:tcPr>
            <w:tcW w:type="dxa" w:w="2835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核心职责</w:t>
            </w:r>
          </w:p>
        </w:tc>
        <w:tc>
          <w:tcPr>
            <w:tcW w:type="dxa" w:w="3118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关键能力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市场分析师</w:t>
              <w:br/>
              <w:t>(Market Analyst)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实时市场监测与数据分析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行情追踪、技术指标计算、趋势识别</w:t>
            </w:r>
          </w:p>
        </w:tc>
      </w:tr>
      <w:tr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新闻解读员</w:t>
              <w:br/>
              <w:t>(News Interpreter)</w:t>
            </w:r>
          </w:p>
        </w:tc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金融资讯智能解读与情绪分析</w:t>
            </w:r>
          </w:p>
        </w:tc>
        <w:tc>
          <w:tcPr>
            <w:tcW w:type="dxa" w:w="311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NLP解读、事件提取、情绪量化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风控专员</w:t>
              <w:br/>
              <w:t>(Risk Controller)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实时风险评估与预警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VaR计算、压力测试、阈值预警</w:t>
            </w:r>
          </w:p>
        </w:tc>
      </w:tr>
      <w:tr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策略顾问</w:t>
              <w:br/>
              <w:t>(Strategy Advisor)</w:t>
            </w:r>
          </w:p>
        </w:tc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投资策略生成与回测</w:t>
            </w:r>
          </w:p>
        </w:tc>
        <w:tc>
          <w:tcPr>
            <w:tcW w:type="dxa" w:w="311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策略构建、历史回测、收益归因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交易执行员</w:t>
              <w:br/>
              <w:t>(Execution Agent)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交易信号生成与执行建议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信号生成、执行优化、滑点控制</w:t>
            </w:r>
          </w:p>
        </w:tc>
      </w:tr>
      <w:tr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报告撰写员</w:t>
              <w:br/>
              <w:t>(Report Writer)</w:t>
            </w:r>
          </w:p>
        </w:tc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专业投研报告自动生成</w:t>
            </w:r>
          </w:p>
        </w:tc>
        <w:tc>
          <w:tcPr>
            <w:tcW w:type="dxa" w:w="311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报告模板、数据可视化、合规审查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2.3 核心创新——六大差异化优势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创新点</w:t>
            </w:r>
          </w:p>
        </w:tc>
        <w:tc>
          <w:tcPr>
            <w:tcW w:type="dxa" w:w="255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传统方案</w:t>
            </w:r>
          </w:p>
        </w:tc>
        <w:tc>
          <w:tcPr>
            <w:tcW w:type="dxa" w:w="3402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FinAgent Pro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自主推理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规则驱动，被动响应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ReAct推理引擎，主动思考与行动</w:t>
            </w:r>
          </w:p>
        </w:tc>
      </w:tr>
      <w:tr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多智能体协同</w:t>
            </w:r>
          </w:p>
        </w:tc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单模型单任务</w:t>
            </w:r>
          </w:p>
        </w:tc>
        <w:tc>
          <w:tcPr>
            <w:tcW w:type="dxa" w:w="3402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6大智能体分工协作，加权协商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主动智能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用户触发式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定时巡检+事件驱动+阈值预警</w:t>
            </w:r>
          </w:p>
        </w:tc>
      </w:tr>
      <w:tr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合规内嵌</w:t>
            </w:r>
          </w:p>
        </w:tc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事后审查</w:t>
            </w:r>
          </w:p>
        </w:tc>
        <w:tc>
          <w:tcPr>
            <w:tcW w:type="dxa" w:w="3402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合规引擎全程嵌入，审计留痕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记忆系统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无状态交互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三层记忆架构，持续学习优化</w:t>
            </w:r>
          </w:p>
        </w:tc>
      </w:tr>
      <w:tr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可解释性</w:t>
            </w:r>
          </w:p>
        </w:tc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黑箱输出</w:t>
            </w:r>
          </w:p>
        </w:tc>
        <w:tc>
          <w:tcPr>
            <w:tcW w:type="dxa" w:w="3402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思维链可视化，决策过程透明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第三章  市场分析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3.1 市场规模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3969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TAM（总可达市场）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500亿元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中国金融科技AI应用市场</w:t>
            </w:r>
          </w:p>
        </w:tc>
      </w:tr>
      <w:tr>
        <w:tc>
          <w:tcPr>
            <w:tcW w:type="dxa" w:w="226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SAM（可服务市场）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50亿元</w:t>
            </w:r>
          </w:p>
        </w:tc>
        <w:tc>
          <w:tcPr>
            <w:tcW w:type="dxa" w:w="3969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AI+投研/风控/合规细分市场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SOM（可获得市场）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5亿元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Agentic AI金融平台市场</w:t>
            </w:r>
          </w:p>
        </w:tc>
      </w:tr>
    </w:tbl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根据艾瑞咨询和IDC数据，中国金融科技市场持续高速增长，AI在金融领域的渗透率从2022年的12%提升至2025年的28%，预计2027年将达到45%。Agentic AI作为新一代AI范式，正处于市场导入期，先发优势明显。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3.2 目标客户——四类客户画像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客户类型</w:t>
            </w:r>
          </w:p>
        </w:tc>
        <w:tc>
          <w:tcPr>
            <w:tcW w:type="dxa" w:w="113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198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核心需求</w:t>
            </w:r>
          </w:p>
        </w:tc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付费能力</w:t>
            </w:r>
          </w:p>
        </w:tc>
        <w:tc>
          <w:tcPr>
            <w:tcW w:type="dxa" w:w="198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获客策略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公募/私募基金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中大型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投研效率、风控合规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年费20-100万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行业峰会+标杆案例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券商研究所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中大型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报告自动化、数据整合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年费30-80万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POC验证+渠道合作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银行理财子公司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大型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合规审查、风险评估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年费50-200万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招标+合规驱动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个人投资者/工作室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小型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智能投研、策略回测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月费299-999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社区运营+免费版引流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3.3 竞争格局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98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Wind/同花顺</w:t>
            </w:r>
          </w:p>
        </w:tc>
        <w:tc>
          <w:tcPr>
            <w:tcW w:type="dxa" w:w="198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通用AI（ChatGPT等）</w:t>
            </w:r>
          </w:p>
        </w:tc>
        <w:tc>
          <w:tcPr>
            <w:tcW w:type="dxa" w:w="198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FinAgent Pro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专业深度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★★★★★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★★☆☆☆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★★★★☆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智能程度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★★☆☆☆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★★★★☆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★★★★★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自主性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★☆☆☆☆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★★☆☆☆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★★★★★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合规能力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★★★★☆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★☆☆☆☆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★★★★★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价格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高（年费10万+）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低（月费$20）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中（年费5万起）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可解释性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★★★☆☆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★★☆☆☆</w:t>
            </w:r>
          </w:p>
        </w:tc>
        <w:tc>
          <w:tcPr>
            <w:tcW w:type="dxa" w:w="198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★★★★★</w:t>
            </w:r>
          </w:p>
        </w:tc>
      </w:tr>
    </w:tbl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FinAgent Pro 的差异化定位：既具备金融专业深度，又拥有AI原生智能，填补了传统金融终端与通用AI工具之间的市场空白。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第四章  产品与服务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4.1 产品架构——六层架构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268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核心组件</w:t>
            </w:r>
          </w:p>
        </w:tc>
        <w:tc>
          <w:tcPr>
            <w:tcW w:type="dxa" w:w="2835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功能说明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L1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数据层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行情API、新闻源、公告库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多源金融数据实时采集与清洗</w:t>
            </w:r>
          </w:p>
        </w:tc>
      </w:tr>
      <w:tr>
        <w:tc>
          <w:tcPr>
            <w:tcW w:type="dxa" w:w="850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L2</w:t>
            </w:r>
          </w:p>
        </w:tc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工具层</w:t>
            </w:r>
          </w:p>
        </w:tc>
        <w:tc>
          <w:tcPr>
            <w:tcW w:type="dxa" w:w="226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技术分析、NLP、风控模型</w:t>
            </w:r>
          </w:p>
        </w:tc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可插拔工具注册与发现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L3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引擎层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ReAct引擎、Memory、合规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推理循环、记忆管理、合规审查</w:t>
            </w:r>
          </w:p>
        </w:tc>
      </w:tr>
      <w:tr>
        <w:tc>
          <w:tcPr>
            <w:tcW w:type="dxa" w:w="850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L4</w:t>
            </w:r>
          </w:p>
        </w:tc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智能体层</w:t>
            </w:r>
          </w:p>
        </w:tc>
        <w:tc>
          <w:tcPr>
            <w:tcW w:type="dxa" w:w="226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6大专业智能体</w:t>
            </w:r>
          </w:p>
        </w:tc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分工协作、自主推理、主动行动</w:t>
            </w:r>
          </w:p>
        </w:tc>
      </w:tr>
      <w:tr>
        <w:tc>
          <w:tcPr>
            <w:tcW w:type="dxa" w:w="850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L5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协同层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Orchestrator、协商算法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任务调度、结果聚合、冲突消解</w:t>
            </w:r>
          </w:p>
        </w:tc>
      </w:tr>
      <w:tr>
        <w:tc>
          <w:tcPr>
            <w:tcW w:type="dxa" w:w="850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L6</w:t>
            </w:r>
          </w:p>
        </w:tc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交互层</w:t>
            </w:r>
          </w:p>
        </w:tc>
        <w:tc>
          <w:tcPr>
            <w:tcW w:type="dxa" w:w="226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Web UI、API、WebSocket</w:t>
            </w:r>
          </w:p>
        </w:tc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用户交互、实时推送、开放集成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4.2 六大智能体详解</w:t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4.2.1 市场分析师（Market Analyst Agent）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市场分析师是FinAgent Pro的「数据哨兵」，负责实时监测市场行情数据，识别趋势变化和异常波动。其核心能力包括：实时行情追踪（支持A股、港股、美股多市场）、技术指标自动计算（MACD、KDJ、RSI等20+指标）、趋势形态识别（头肩顶、双底等经典形态）。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市场分析师通过ReAct推理引擎，能够自主决定何时需要调取哪些数据、计算哪些指标，而非被动等待用户指令。例如，当检测到某只股票成交量突然放大3倍时，会主动触发深度分析流程。</w:t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4.2.2 新闻解读员（News Interpreter Agent）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新闻解读员是FinAgent Pro的「信息过滤器」，负责从海量金融资讯中提取关键信息，进行事件分类和情绪量化。其核心能力包括：金融实体识别（公司、人物、产品）、事件类型分类（政策、业绩、并购等8大类）、情绪强度量化（-1到+1连续值）、关联影响分析（事件对相关标的的影响路径）。</w:t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4.2.3 风控专员（Risk Controller Agent）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风控专员是FinAgent Pro的「安全卫士」，负责实时风险评估和预警。其核心能力包括：VaR（在险价值）实时计算、压力测试场景模拟、多维度风险阈值监控、合规规则自动审查。风控专员7×24小时不间断运行，一旦检测到风险指标突破阈值，立即触发预警信号并通知相关智能体协同应对。</w:t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4.2.4 策略顾问（Strategy Advisor Agent）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策略顾问是FinAgent Pro的「智囊团」，负责投资策略的生成、回测和优化。其核心能力包括：多因子策略构建、历史数据回测验证、收益归因分析、策略参数自适应优化。策略顾问能够根据市场分析师和新闻解读员提供的信号，动态调整策略参数，实现策略与市场环境的实时适配。</w:t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4.2.5 交易执行员（Execution Agent）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交易执行员是FinAgent Pro的「行动派」，负责将策略信号转化为可执行的交易建议。其核心能力包括：交易信号生成与验证、执行时机优化、滑点与冲击成本估算、交易合规性检查。交易执行员在生成任何交易建议前，必须通过风控专员的风险审查和合规引擎的合规检查，确保交易行为安全合规。</w:t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4.2.6 报告撰写员（Report Writer Agent）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报告撰写员是FinAgent Pro的「表达者」，负责将各智能体的分析结果整合为专业投研报告。其核心能力包括：多源信息整合与结构化、专业报告模板匹配、数据可视化图表生成、合规表述自动审查。报告撰写员能够根据用户需求，生成日报、周报、深度分析报告等多种格式，并自动进行合规审查。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4.3 核心功能</w:t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4.3.1 智能分析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用户输入任意股票代码或金融问题，系统自动调度相关智能体进行多维度分析，包括基本面、技术面、消息面、资金面等，并给出综合评估。</w:t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4.3.2 对话式交互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支持自然语言对话，用户可以像与专业投研团队交流一样，追问细节、调整分析维度、要求深度解读。系统基于ReAct推理引擎，能够理解复杂的多轮对话上下文。</w:t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4.3.3 主动预警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系统无需用户主动查询，通过定时巡检、事件驱动和阈值触发三种机制，主动推送风险预警、机会提醒和异常报告。</w:t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4.3.4 自动报告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一键生成专业投研报告，支持日报、周报、月报和深度分析报告四种模板，自动整合数据、图表和分析结论，并内置合规审查。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第五章  商业模式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5.1 盈利模式——SaaS三层定价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月费</w:t>
            </w:r>
          </w:p>
        </w:tc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年费</w:t>
            </w:r>
          </w:p>
        </w:tc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目标客户</w:t>
            </w:r>
          </w:p>
        </w:tc>
        <w:tc>
          <w:tcPr>
            <w:tcW w:type="dxa" w:w="255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核心功能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基础版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299元/月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2,999元/年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个人投资者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2个智能体+基础分析+日报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专业版</w:t>
            </w:r>
          </w:p>
        </w:tc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999元/月</w:t>
            </w:r>
          </w:p>
        </w:tc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9,999元/年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小型工作室</w:t>
            </w:r>
          </w:p>
        </w:tc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4个智能体+深度分析+预警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企业版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按需定制</w:t>
            </w:r>
          </w:p>
        </w:tc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5万起/年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金融机构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6个智能体+全部功能+私有部署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5.2 收入预测——三年预测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268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第一年</w:t>
            </w:r>
          </w:p>
        </w:tc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第二年</w:t>
            </w:r>
          </w:p>
        </w:tc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第三年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付费用户数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200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1,500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5,000</w:t>
            </w:r>
          </w:p>
        </w:tc>
      </w:tr>
      <w:tr>
        <w:tc>
          <w:tcPr>
            <w:tcW w:type="dxa" w:w="226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企业客户数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ARR（年经常性收入）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300万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2,500万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1.2亿</w:t>
            </w:r>
          </w:p>
        </w:tc>
      </w:tr>
      <w:tr>
        <w:tc>
          <w:tcPr>
            <w:tcW w:type="dxa" w:w="226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毛利率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65%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75%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82%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净利润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-200万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500万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4,000万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5.3 成本结构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成本项</w:t>
            </w:r>
          </w:p>
        </w:tc>
        <w:tc>
          <w:tcPr>
            <w:tcW w:type="dxa" w:w="113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5102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研发投入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45%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>
              <w:t>创始人独立开发+AI辅助</w:t>
            </w:r>
            <w:r>
              <w:rPr>
                <w:rFonts w:ascii="微软雅黑" w:hAnsi="微软雅黑" w:eastAsia="微软雅黑"/>
                <w:b w:val="0"/>
                <w:sz w:val="19"/>
              </w:rPr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算力与API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5102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LLM API调用+云服务器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数据采购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15%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行情数据+新闻源授权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市场销售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10%</w:t>
            </w:r>
          </w:p>
        </w:tc>
        <w:tc>
          <w:tcPr>
            <w:tcW w:type="dxa" w:w="5102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品牌推广+渠道建设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运营管理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5%</w:t>
            </w:r>
          </w:p>
        </w:tc>
        <w:tc>
          <w:tcPr>
            <w:tcW w:type="dxa" w:w="510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办公+行政+法务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第六章  技术方案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6.1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55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技术栈</w:t>
            </w:r>
          </w:p>
        </w:tc>
        <w:tc>
          <w:tcPr>
            <w:tcW w:type="dxa" w:w="3402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前端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Vue 3 + Vite + TailwindCSS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轻量高效、组件化开发、快速迭代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后端</w:t>
            </w:r>
          </w:p>
        </w:tc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FastAPI + Python 3.11+</w:t>
            </w:r>
          </w:p>
        </w:tc>
        <w:tc>
          <w:tcPr>
            <w:tcW w:type="dxa" w:w="3402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异步高性能、类型安全、生态丰富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LLM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GPT-4o / DeepSeek / Qwen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多模型支持、成本优化、国产替代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向量数据库</w:t>
            </w:r>
          </w:p>
        </w:tc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ChromaDB</w:t>
            </w:r>
          </w:p>
        </w:tc>
        <w:tc>
          <w:tcPr>
            <w:tcW w:type="dxa" w:w="3402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轻量嵌入、本地部署、金融数据安全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任务调度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APScheduler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轻量级、Cron表达式、定时巡检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实时通信</w:t>
            </w:r>
          </w:p>
        </w:tc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WebSocket</w:t>
            </w:r>
          </w:p>
        </w:tc>
        <w:tc>
          <w:tcPr>
            <w:tcW w:type="dxa" w:w="3402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双向推送、预警实时送达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部署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Docker + Vercel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容器化部署、前后端分离、弹性扩展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6.2 技术壁垒</w:t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6.2.1 ReAct推理引擎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自研ReAct（Reasoning + Acting）推理引擎，实现「思考-行动-观察」的闭环推理。智能体不再是简单的问答机器，而是能够自主规划任务步骤、调用工具、评估结果、调整策略的自主决策系统。</w:t>
      </w:r>
    </w:p>
    <w:p>
      <w:pPr>
        <w:spacing w:before="120" w:after="120" w:line="280" w:lineRule="exact"/>
        <w:shd w:fill="F0F0F0" w:val="clear"/>
      </w:pPr>
      <w:r>
        <w:rPr>
          <w:rFonts w:ascii="Courier New" w:hAnsi="Courier New"/>
          <w:color w:val="333333"/>
          <w:sz w:val="17"/>
        </w:rPr>
        <w:t># ReAct推理循环核心逻辑</w:t>
        <w:br/>
        <w:t>while not task_complete:</w:t>
        <w:br/>
        <w:t xml:space="preserve">    thought = llm.reason(context, observation)    # 推理</w:t>
        <w:br/>
        <w:t xml:space="preserve">    action = select_tool(thought)                  # 选择工具</w:t>
        <w:br/>
        <w:t xml:space="preserve">    observation = execute(action)                  # 执行观察</w:t>
        <w:br/>
        <w:t xml:space="preserve">    context = memory.update(observation)           # 更新记忆</w:t>
        <w:br/>
        <w:t xml:space="preserve">    task_complete = evaluate(context)              # 评估完成度</w:t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6.2.2 三层记忆架构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短期记忆（当前会话上下文）、工作记忆（近期交互摘要）、长期记忆（知识库与经验库）三层架构，使智能体具备持续学习和上下文关联能力，越用越智能。</w:t>
      </w:r>
    </w:p>
    <w:p>
      <w:pPr>
        <w:pStyle w:val="Heading3"/>
      </w:pPr>
      <w:r>
        <w:rPr>
          <w:rFonts w:ascii="微软雅黑" w:hAnsi="微软雅黑" w:eastAsia="微软雅黑"/>
          <w:color w:val="3A7CBD"/>
          <w:sz w:val="24"/>
        </w:rPr>
        <w:t>6.2.3 合规引擎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内置金融合规规则引擎，覆盖证监会、银保监会等监管机构的200+条规则，所有智能体输出均经过合规审查，确保内容合规、表述规范、数据脱敏。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6.3 数据安全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传输加密：全链路TLS/SSL加密，API通信采用HTTPS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存储加密：敏感数据AES-256加密存储，密钥分级管理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访问控制：RBAC权限模型，最小权限原则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审计日志：全操作留痕，支持合规审计追溯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数据隔离：多租户数据逻辑隔离，企业版支持物理隔离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第七章  发展规划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7.1 发展路线图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268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55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关键指标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MVP阶段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 Q3-Q4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核心功能上线，获取种子用户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100+注册用户，5+付费用户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成长阶段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2027 Q1-Q2</w:t>
            </w:r>
          </w:p>
        </w:tc>
        <w:tc>
          <w:tcPr>
            <w:tcW w:type="dxa" w:w="226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功能完善，市场拓展</w:t>
            </w:r>
          </w:p>
        </w:tc>
        <w:tc>
          <w:tcPr>
            <w:tcW w:type="dxa" w:w="255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1000+注册用户，50+付费用户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成熟阶段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2027 Q3-Q4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生态建设，规模化增长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5000+注册用户，200+付费用户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7.2 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835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2268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预计时间</w:t>
            </w:r>
          </w:p>
        </w:tc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产品原型完成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2026年7月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进行中</w:t>
            </w:r>
          </w:p>
        </w:tc>
      </w:tr>
      <w:tr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MVP内测上线</w:t>
            </w:r>
          </w:p>
        </w:tc>
        <w:tc>
          <w:tcPr>
            <w:tcW w:type="dxa" w:w="226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2026年9月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计划中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首批付费客户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2026年11月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计划中</w:t>
            </w:r>
          </w:p>
        </w:tc>
      </w:tr>
      <w:tr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企业版发布</w:t>
            </w:r>
          </w:p>
        </w:tc>
        <w:tc>
          <w:tcPr>
            <w:tcW w:type="dxa" w:w="226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2027年3月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计划中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ARR突破1000万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2027年9月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计划中</w:t>
            </w:r>
          </w:p>
        </w:tc>
      </w:tr>
      <w:tr>
        <w:tc>
          <w:tcPr>
            <w:tcW w:type="dxa" w:w="283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Pre-A轮融资</w:t>
            </w:r>
          </w:p>
        </w:tc>
        <w:tc>
          <w:tcPr>
            <w:tcW w:type="dxa" w:w="2268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2027年12月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计划中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第八章  融资计划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8.1 融资需求——天使轮500万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本次天使轮融资目标500万元人民币，出让股权10%-15%，投前估值3,300万-5,000万元。资金将主要用于产品研发、市场验证和运营储备。FinAgent Pro由创始人冯亦根以OPC一人团队模式独立打造，资金使用效率极高。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8.2 资金用途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金额（万元）</w:t>
            </w:r>
          </w:p>
        </w:tc>
        <w:tc>
          <w:tcPr>
            <w:tcW w:type="dxa" w:w="113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3685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产品研发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250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50%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核心功能开发、智能体优化、合规引擎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研发运营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368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创始人持续开发、AI工具赋能、按需外包协作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市场推广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80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16%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品牌建设、行业峰会、POC验证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数据采购</w:t>
            </w:r>
          </w:p>
        </w:tc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8%</w:t>
            </w:r>
          </w:p>
        </w:tc>
        <w:tc>
          <w:tcPr>
            <w:tcW w:type="dxa" w:w="3685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行情数据、新闻源、知识库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运营储备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6%</w:t>
            </w:r>
          </w:p>
        </w:tc>
        <w:tc>
          <w:tcPr>
            <w:tcW w:type="dxa" w:w="3685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日常运营、法务财务、应急储备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8.3 退出机制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IPO上市：预计2029-2030年科创板或港股上市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战略并购：被大型金融机构或金融科技公司收购</w:t>
      </w:r>
    </w:p>
    <w:p>
      <w:pPr>
        <w:pStyle w:val="ListBullet"/>
        <w:spacing w:before="40" w:after="40"/>
        <w:ind w:left="850"/>
      </w:pPr>
      <w:r>
        <w:rPr>
          <w:rFonts w:ascii="微软雅黑" w:hAnsi="微软雅黑" w:eastAsia="微软雅黑"/>
          <w:sz w:val="21"/>
        </w:rPr>
        <w:t>股权回购：若未实现上市/并购，创始人冯亦根按年化8%回购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第九章  风险分析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9.1 技术风险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13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113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402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LLM幻觉问题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多模型交叉验证+人工审核机制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系统稳定性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3402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容灾备份+降级策略+监控告警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数据质量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多源交叉验证+异常数据过滤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9.2 市场风险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13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113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402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市场接受度低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免费版引流+POC验证+标杆案例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竞争加剧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3402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技术壁垒+合规优势+生态建设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客户流失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持续优化+客户成功+粘性功能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9.3 合规风险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13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1134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3402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监管政策变化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合规引擎+政策跟踪+快速响应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数据合规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1134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3402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数据脱敏+隐私计算+合规审查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投资建议合规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134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免责声明+合规引擎+人工复核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9.4 应对策略总览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FinAgent Pro采取「技术+合规+运营」三位一体的风险应对策略：技术上，通过多模型验证、容灾备份确保系统可靠性；合规上，内置合规引擎、全程审计留痕确保合规性；运营上，通过客户成功体系、持续迭代确保市场竞争力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C6E"/>
          <w:sz w:val="36"/>
        </w:rPr>
        <w:t>第十章  社会价值</w:t>
      </w:r>
    </w:p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10.1 响应「五篇大文章」战略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FinAgent Pro积极响应中央金融工作会议提出的「五篇大文章」战略方向：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战略方向</w:t>
            </w:r>
          </w:p>
        </w:tc>
        <w:tc>
          <w:tcPr>
            <w:tcW w:type="dxa" w:w="5669"/>
            <w:shd w:fill="1A3C6E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FinAgent Pro贡献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科技金融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以AI技术赋能金融行业，推动金融科技自主创新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绿色金融</w:t>
            </w:r>
          </w:p>
        </w:tc>
        <w:tc>
          <w:tcPr>
            <w:tcW w:type="dxa" w:w="5669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ESG智能评估模块，助力绿色投资决策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普惠金融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降低投研门槛，让中小投资者享受专业级服务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养老金融</w:t>
            </w:r>
          </w:p>
        </w:tc>
        <w:tc>
          <w:tcPr>
            <w:tcW w:type="dxa" w:w="5669"/>
            <w:shd w:fill="E8F0FE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稳健策略推荐，服务养老资金保值增值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数字金融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推动金融行业数字化转型，提升行业效率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B579A"/>
          <w:sz w:val="28"/>
        </w:rPr>
        <w:t>10.2 促进金融行业进步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  <w:t>FinAgent Pro通过AI技术赋能金融行业，不仅提升了单个机构的效率，更推动了整个行业的智能化升级。我们的愿景是让每一位金融从业者都能拥有AI助手，让金融决策更加科学、高效、合规。</w:t>
      </w:r>
    </w:p>
    <w:p>
      <w:pPr>
        <w:spacing w:line="400" w:lineRule="exact" w:before="60" w:after="60"/>
        <w:ind w:firstLine="420"/>
      </w:pPr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t>第十一章  团队介绍</w:t>
      </w:r>
    </w:p>
    <w:p>
      <w:pPr>
        <w:pStyle w:val="Heading2"/>
      </w:pPr>
      <w:r>
        <w:t>11.1 OPC一人团队——以一当十</w:t>
      </w:r>
    </w:p>
    <w:p>
      <w:r>
        <w:rPr>
          <w:b/>
        </w:rPr>
        <w:t>团队名称：</w:t>
      </w:r>
      <w:r>
        <w:t>智融先锋</w:t>
      </w:r>
    </w:p>
    <w:p>
      <w:r>
        <w:rPr>
          <w:b/>
        </w:rPr>
        <w:t>团队格言：</w:t>
      </w:r>
      <w:r>
        <w:t>一个人，一支队，以一当十</w:t>
      </w:r>
    </w:p>
    <w:p>
      <w:r>
        <w:t>FinAgent Pro 由创始人冯亦根一人独立设计并开发完成。在这个AI时代，一个人借助大模型和智能体技术，可以完成过去需要一个团队才能完成的工作。智融先锋以OPC（One Person Company）一人团队模式运转，用极致的效率和AI原生思维，打造出全链路金融智能体平台。</w:t>
      </w:r>
    </w:p>
    <w:p>
      <w:pPr>
        <w:pStyle w:val="Heading2"/>
      </w:pPr>
      <w:r>
        <w:t>11.2 创始人——冯亦根</w:t>
      </w:r>
    </w:p>
    <w:p>
      <w:r>
        <w:rPr>
          <w:b/>
        </w:rPr>
        <w:t>姓名：</w:t>
      </w:r>
      <w:r>
        <w:t>冯亦根</w:t>
      </w:r>
    </w:p>
    <w:p>
      <w:r>
        <w:rPr>
          <w:b/>
        </w:rPr>
        <w:t>学历：</w:t>
      </w:r>
      <w:r>
        <w:t>浙江大学 计算机通信工程（本科）</w:t>
      </w:r>
    </w:p>
    <w:p>
      <w:r>
        <w:rPr>
          <w:b/>
        </w:rPr>
        <w:t>角色：</w:t>
      </w:r>
      <w:r>
        <w:t>创始人 &amp; 全栈开发者</w:t>
      </w:r>
    </w:p>
    <w:p>
      <w:r>
        <w:rPr>
          <w:b/>
        </w:rPr>
        <w:t>核心能力：</w:t>
      </w:r>
    </w:p>
    <w:p>
      <w:pPr>
        <w:pStyle w:val="ListBullet"/>
      </w:pPr>
      <w:r>
        <w:t>全栈开发：前端（Vue 3 + TailwindCSS）+ 后端（FastAPI + Python）+ 部署（Docker + Vercel），一人完成从UI到上线的全流程</w:t>
      </w:r>
    </w:p>
    <w:p>
      <w:pPr>
        <w:pStyle w:val="ListBullet"/>
      </w:pPr>
      <w:r>
        <w:t>AI工程：精通大模型调用、Prompt Engineering、ReAct推理引擎设计、多智能体协同架构</w:t>
      </w:r>
    </w:p>
    <w:p>
      <w:pPr>
        <w:pStyle w:val="ListBullet"/>
      </w:pPr>
      <w:r>
        <w:t>金融科技：深入理解投研流程、风控体系、合规要求，将金融专业知识深度融入产品设计</w:t>
      </w:r>
    </w:p>
    <w:p>
      <w:pPr>
        <w:pStyle w:val="ListBullet"/>
      </w:pPr>
      <w:r>
        <w:t>产品思维：从0到1独立完成产品定义、架构设计、功能开发和用户体验优化</w:t>
      </w:r>
    </w:p>
    <w:p>
      <w:pPr>
        <w:pStyle w:val="Heading2"/>
      </w:pPr>
      <w:r>
        <w:t>11.3 一人团队如何以一当十</w:t>
      </w:r>
    </w:p>
    <w:p>
      <w:r>
        <w:t>传统金融科技团队通常需要10-15人（前端、后端、AI、金融专家、产品经理等），而冯亦根凭借以下三大杠杆，实现了以一当十的效率：</w:t>
      </w:r>
    </w:p>
    <w:p>
      <w:pPr>
        <w:pStyle w:val="ListBullet"/>
      </w:pPr>
      <w:r>
        <w:t>AI原生开发：利用大模型辅助编码、调试和文档撰写，开发效率提升5-10倍</w:t>
      </w:r>
    </w:p>
    <w:p>
      <w:pPr>
        <w:pStyle w:val="ListBullet"/>
      </w:pPr>
      <w:r>
        <w:t>智能体架构：六大专业智能体本身就是"数字员工"，替代了传统团队中分析师、风控员、报告员等角色</w:t>
      </w:r>
    </w:p>
    <w:p>
      <w:pPr>
        <w:pStyle w:val="ListBullet"/>
      </w:pPr>
      <w:r>
        <w:t>极简主义：聚焦核心价值，拒绝过度设计，用最精简的代码实现最强大的功能</w:t>
      </w:r>
    </w:p>
    <w:p>
      <w:pPr>
        <w:pStyle w:val="Heading2"/>
      </w:pPr>
      <w:r>
        <w:t>11.4 团队优势与未来</w:t>
      </w:r>
    </w:p>
    <w:p>
      <w:r>
        <w:t>OPC一人团队模式并非劣势，而是一种极致的竞争优势：</w:t>
      </w:r>
    </w:p>
    <w:p>
      <w:pPr>
        <w:pStyle w:val="ListBullet"/>
      </w:pPr>
      <w:r>
        <w:t>决策效率：无需团队协调，想法到落地零延迟</w:t>
      </w:r>
    </w:p>
    <w:p>
      <w:pPr>
        <w:pStyle w:val="ListBullet"/>
      </w:pPr>
      <w:r>
        <w:t>成本优势：人力成本仅为传统团队的1/10，资金使用效率极高</w:t>
      </w:r>
    </w:p>
    <w:p>
      <w:pPr>
        <w:pStyle w:val="ListBullet"/>
      </w:pPr>
      <w:r>
        <w:t>技术深度：创始人深入每一个技术细节，不存在沟通损耗</w:t>
      </w:r>
    </w:p>
    <w:p>
      <w:pPr>
        <w:pStyle w:val="ListBullet"/>
      </w:pPr>
      <w:r>
        <w:t>灵活应变：市场反馈即时响应，产品迭代速度远超传统团队</w:t>
      </w:r>
    </w:p>
    <w:p>
      <w:r>
        <w:t>随着业务发展，团队将按需引入关键岗位人才（如商务拓展、客户成功等），但核心技术将始终由创始人深度把控，确保产品品质和技术壁垒。智融先锋的愿景是证明：在AI时代，一个人也能打造改变行业的伟大产品。</w:t>
      </w:r>
    </w:p>
    <w:p/>
    <w:p>
      <w:r>
        <w:t>FinAgent Pro —— 让金融智能触手可及。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fldChar w:fldCharType="begin"/>
    </w:r>
    <w:r>
      <w:rPr>
        <w:color w:val="999999"/>
        <w:sz w:val="18"/>
      </w:rPr>
      <w:instrText xml:space="preserve"> PAGE </w:instrText>
    </w:r>
    <w:r>
      <w:rPr>
        <w:color w:val="99999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color w:val="999999"/>
        <w:sz w:val="16"/>
      </w:rPr>
      <w:t>FinAgent Pro 商业计划书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