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A237E"/>
          <w:sz w:val="44"/>
        </w:rPr>
        <w:t>FinAgent Pro 交互设计与流程图</w:t>
      </w:r>
    </w:p>
    <w:p>
      <w:pPr>
        <w:jc w:val="center"/>
      </w:pPr>
      <w:r>
        <w:rPr>
          <w:color w:val="666666"/>
          <w:sz w:val="24"/>
        </w:rPr>
        <w:t>AFAC2026 方向四：Agentic AI</w:t>
      </w:r>
    </w:p>
    <w:p/>
    <w:p>
      <w:pPr>
        <w:pStyle w:val="Heading1"/>
      </w:pPr>
      <w:r>
        <w:rPr>
          <w:color w:val="1A237E"/>
        </w:rPr>
        <w:t>一、系统总体架构</w:t>
      </w:r>
    </w:p>
    <w:p>
      <w:r>
        <w:rPr>
          <w:color w:val="333333"/>
          <w:sz w:val="21"/>
        </w:rPr>
        <w:t>系统采用前后端分离架构，基于 Docker Compose 一键部署。前端通过 Nginx 反向代理访问后端 RESTful API 和 WebSocket。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0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01-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2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color w:val="1A237E"/>
        </w:rPr>
        <w:t>二、用户操作主流程</w:t>
      </w:r>
    </w:p>
    <w:p>
      <w:r>
        <w:rPr>
          <w:color w:val="333333"/>
          <w:sz w:val="21"/>
        </w:rPr>
        <w:t>用户从登录到完成投资分析的端到端流程，涵盖输入阶段、AI 分析阶段与报告输出阶段。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81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02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1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color w:val="1A237E"/>
        </w:rPr>
        <w:t>三、DAG 并行执行数据流</w:t>
      </w:r>
    </w:p>
    <w:p>
      <w:r>
        <w:rPr>
          <w:color w:val="333333"/>
          <w:sz w:val="21"/>
        </w:rPr>
        <w:t>Orchestrator 完成意图识别后，市场分析师与情绪扫描器并行执行，风险经理与组合顾问串行消费前序结果，最终通过 WebSocket 推送报告。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2984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03-d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9840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color w:val="1A237E"/>
        </w:rPr>
        <w:t>四、Agent 状态机</w:t>
      </w:r>
    </w:p>
    <w:p>
      <w:r>
        <w:rPr>
          <w:color w:val="333333"/>
          <w:sz w:val="21"/>
        </w:rPr>
        <w:t>每个 Agent 任务在生命周期内经历 PENDING → RUNNING → COMPLETED / FAILED，支持超时降级与重试。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498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04-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8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color w:val="999999"/>
          <w:sz w:val="20"/>
        </w:rPr>
        <w:t>—— FinAgent Pro · 让 AI 成为每个投资者的专业顾问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