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890FF"/>
          <w:sz w:val="48"/>
          <w:szCs w:val="48"/>
        </w:rPr>
        <w:t xml:space="preserve">FinAgent Pro 项目商业计划书</w:t>
      </w:r>
    </w:p>
    <w:p>
      <w:pPr>
        <w:spacing w:after="400"/>
        <w:jc w:val="center"/>
      </w:pPr>
      <w:r>
        <w:rPr>
          <w:color w:val="595959"/>
          <w:sz w:val="24"/>
          <w:szCs w:val="24"/>
        </w:rPr>
        <w:t xml:space="preserve">AFAC2026 金融智能创新大赛 — 方向四：前沿技术 (Agentic AI)</w:t>
      </w:r>
    </w:p>
    <w:p>
      <w:pPr>
        <w:spacing w:after="600"/>
        <w:jc w:val="center"/>
      </w:pPr>
      <w:r>
        <w:rPr>
          <w:sz w:val="20"/>
          <w:szCs w:val="20"/>
        </w:rPr>
        <w:t xml:space="preserve">团队：FinAgent Pro Team  |  提交日期：2026年6月</w:t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一句话介绍</w:t>
      </w:r>
    </w:p>
    <w:p>
      <w:r>
        <w:t xml:space="preserve">FinAgent Pro 是一个基于国产大模型的多Agent智能投顾系统，通过DAG并行编排四位AI专家（市场分析师、情绪扫描器、风险经理、组合顾问）协同决策，为港股投资者提供45秒端到端的专业级投资分析服务。</w:t>
      </w:r>
    </w:p>
    <w:p>
      <w:pPr>
        <w:pStyle w:val="Heading2"/>
      </w:pPr>
      <w:r>
        <w:t xml:space="preserve">1.2 解决的核心问题</w:t>
      </w:r>
    </w:p>
    <w:p>
      <w:r>
        <w:t xml:space="preserve">中国港股市场拥有200万+活跃散户投资者，但专业投顾服务门槛高达50万港币，智能投顾渗透率不足15%。散户面临信息过载、风险难控、服务不均、黑盒决策、境外依赖五大痛点。</w:t>
      </w:r>
    </w:p>
    <w:p>
      <w:pPr>
        <w:pStyle w:val="Heading2"/>
      </w:pPr>
      <w:r>
        <w:t xml:space="preserve">1.3 解决方案</w:t>
      </w:r>
    </w:p>
    <w:p>
      <w:r>
        <w:t xml:space="preserve">4位AI专家协同 + DAG并行编排引擎 + 8个金融专业工具 + WebSocket实时推送 + 国产技术栈。</w:t>
      </w:r>
    </w:p>
    <w:p>
      <w:pPr>
        <w:pStyle w:val="Heading1"/>
      </w:pPr>
      <w:r>
        <w:t xml:space="preserve">二、技术创新性（评审权重40%）</w:t>
      </w:r>
    </w:p>
    <w:p>
      <w:pPr>
        <w:pStyle w:val="Heading2"/>
      </w:pPr>
      <w:r>
        <w:t xml:space="preserve">2.1 DAG并行编排引擎</w:t>
      </w:r>
    </w:p>
    <w:p>
      <w:r>
        <w:t xml:space="preserve">传统多Agent系统采用线性链式执行。FinAgent Pro 创新性地实现了DAG（有向无环图）并行编排引擎：市场分析与情绪扫描之间无数据依赖，并行执行；风险评估同时消费两个并行步骤的输出；组合建议综合前三步全部结果。相比链式执行节省约40%分析时间。</w:t>
      </w:r>
    </w:p>
    <w:p>
      <w:r>
        <w:t xml:space="preserve">支持动态步骤增减、失败容错（单步失败不阻塞后续）、超时降级（90s超时自动降级）。</w:t>
      </w:r>
    </w:p>
    <w:p>
      <w:pPr>
        <w:pStyle w:val="Heading2"/>
      </w:pPr>
      <w:r>
        <w:t xml:space="preserve">2.2 智能意图识别</w:t>
      </w:r>
    </w:p>
    <w:p>
      <w:r>
        <w:t xml:space="preserve">采用规则快速匹配 + LLM回退增强的双层架构，替换传统硬编码关键词匹配。规则引擎毫秒级响应，LLM增强处理复杂自然语言。</w:t>
      </w:r>
    </w:p>
    <w:p>
      <w:pPr>
        <w:pStyle w:val="Heading2"/>
      </w:pPr>
      <w:r>
        <w:t xml:space="preserve">2.3 八个金融专业工具</w:t>
      </w:r>
    </w:p>
    <w:p>
      <w:r>
        <w:t xml:space="preserve">• get_stock_price: 实时股价获取</w:t>
      </w:r>
    </w:p>
    <w:p>
      <w:r>
        <w:t xml:space="preserve">• get_technical_indicators: MA/MACD/RSI等技术指标</w:t>
      </w:r>
    </w:p>
    <w:p>
      <w:r>
        <w:t xml:space="preserve">• get_fundamentals: PE/PB/市值等基本面指标（新增）</w:t>
      </w:r>
    </w:p>
    <w:p>
      <w:r>
        <w:t xml:space="preserve">• get_fund_flow: 资金流向分析</w:t>
      </w:r>
    </w:p>
    <w:p>
      <w:r>
        <w:t xml:space="preserve">• get_portfolio_risk: 协方差矩阵组合风险</w:t>
      </w:r>
    </w:p>
    <w:p>
      <w:r>
        <w:t xml:space="preserve">• calculate_var: VaR/CVaR/夏普比率</w:t>
      </w:r>
    </w:p>
    <w:p>
      <w:r>
        <w:t xml:space="preserve">• stress_test: 4种极端情景压力测试（新增）</w:t>
      </w:r>
    </w:p>
    <w:p>
      <w:r>
        <w:t xml:space="preserve">• markowitz_optimize: 马科维茨均值-方差优化（新增）</w:t>
      </w:r>
    </w:p>
    <w:p>
      <w:pPr>
        <w:pStyle w:val="Heading2"/>
      </w:pPr>
      <w:r>
        <w:t xml:space="preserve">2.4 RAG知识库增强</w:t>
      </w:r>
    </w:p>
    <w:p>
      <w:r>
        <w:t xml:space="preserve">ChromaDB + all-MiniLM-L6-v2 语义搜索，为每个Agent自动注入金融领域知识。支持动态添加/删除/批量导入知识条目。</w:t>
      </w:r>
    </w:p>
    <w:p>
      <w:pPr>
        <w:pStyle w:val="Heading2"/>
      </w:pPr>
      <w:r>
        <w:t xml:space="preserve">2.5 LLM容错降级体系</w:t>
      </w:r>
    </w:p>
    <w:p>
      <w:r>
        <w:t xml:space="preserve">90s超时 + 3次指数退避重试 + DeepSeek→智谱GLM-4主备切换 + 流式SSE响应 + 单步失败不阻塞DAG。</w:t>
      </w:r>
    </w:p>
    <w:p>
      <w:pPr>
        <w:pStyle w:val="Heading2"/>
      </w:pPr>
      <w:r>
        <w:t xml:space="preserve">2.6 技术壁垒与竞争优势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对比维度</w:t>
            </w:r>
          </w:p>
        </w:tc>
        <w:tc>
          <w:p>
            <w:r>
              <w:rPr>
                <w:b/>
                <w:bCs/>
              </w:rPr>
              <w:t xml:space="preserve">传统投顾</w:t>
            </w:r>
          </w:p>
        </w:tc>
        <w:tc>
          <w:p>
            <w:r>
              <w:rPr>
                <w:b/>
                <w:bCs/>
              </w:rPr>
              <w:t xml:space="preserve">CrewAI等通用框架</w:t>
            </w:r>
          </w:p>
        </w:tc>
        <w:tc>
          <w:p>
            <w:r>
              <w:rPr>
                <w:b/>
                <w:bCs/>
                <w:color w:val="1890FF"/>
              </w:rPr>
              <w:t xml:space="preserve">FinAgent Pro</w:t>
            </w:r>
          </w:p>
        </w:tc>
      </w:tr>
      <w:tr>
        <w:tc>
          <w:p>
            <w:r>
              <w:t xml:space="preserve">Agent协作</w:t>
            </w:r>
          </w:p>
        </w:tc>
        <w:tc>
          <w:p>
            <w:r>
              <w:t xml:space="preserve">单体模型</w:t>
            </w:r>
          </w:p>
        </w:tc>
        <w:tc>
          <w:p>
            <w:r>
              <w:t xml:space="preserve">链式/黑盒</w:t>
            </w:r>
          </w:p>
        </w:tc>
        <w:tc>
          <w:p>
            <w:r>
              <w:t xml:space="preserve">DAG并行+实时可视化</w:t>
            </w:r>
          </w:p>
        </w:tc>
      </w:tr>
      <w:tr>
        <w:tc>
          <w:p>
            <w:r>
              <w:t xml:space="preserve">决策可解释</w:t>
            </w:r>
          </w:p>
        </w:tc>
        <w:tc>
          <w:p>
            <w:r>
              <w:t xml:space="preserve">黑盒</w:t>
            </w:r>
          </w:p>
        </w:tc>
        <w:tc>
          <w:p>
            <w:r>
              <w:t xml:space="preserve">黑盒</w:t>
            </w:r>
          </w:p>
        </w:tc>
        <w:tc>
          <w:p>
            <w:r>
              <w:t xml:space="preserve">WebSocket流式推送</w:t>
            </w:r>
          </w:p>
        </w:tc>
      </w:tr>
      <w:tr>
        <w:tc>
          <w:p>
            <w:r>
              <w:t xml:space="preserve">金融专业性</w:t>
            </w:r>
          </w:p>
        </w:tc>
        <w:tc>
          <w:p>
            <w:r>
              <w:t xml:space="preserve">通用问答</w:t>
            </w:r>
          </w:p>
        </w:tc>
        <w:tc>
          <w:p>
            <w:r>
              <w:t xml:space="preserve">通用框架</w:t>
            </w:r>
          </w:p>
        </w:tc>
        <w:tc>
          <w:p>
            <w:r>
              <w:t xml:space="preserve">8个金融专业工具+RAG</w:t>
            </w:r>
          </w:p>
        </w:tc>
      </w:tr>
      <w:tr>
        <w:tc>
          <w:p>
            <w:r>
              <w:t xml:space="preserve">风险评估</w:t>
            </w:r>
          </w:p>
        </w:tc>
        <w:tc>
          <w:p>
            <w:r>
              <w:t xml:space="preserve">简单评分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VaR+CVaR+压力测试+马科维茨</w:t>
            </w:r>
          </w:p>
        </w:tc>
      </w:tr>
      <w:tr>
        <w:tc>
          <w:p>
            <w:r>
              <w:t xml:space="preserve">国产化</w:t>
            </w:r>
          </w:p>
        </w:tc>
        <w:tc>
          <w:p>
            <w:r>
              <w:t xml:space="preserve">依赖OpenAI</w:t>
            </w:r>
          </w:p>
        </w:tc>
        <w:tc>
          <w:p>
            <w:r>
              <w:t xml:space="preserve">部分依赖</w:t>
            </w:r>
          </w:p>
        </w:tc>
        <w:tc>
          <w:p>
            <w:r>
              <w:t xml:space="preserve">全链路国产，零VPN</w:t>
            </w:r>
          </w:p>
        </w:tc>
      </w:tr>
      <w:tr>
        <w:tc>
          <w:p>
            <w:r>
              <w:t xml:space="preserve">运行成本</w:t>
            </w:r>
          </w:p>
        </w:tc>
        <w:tc>
          <w:p>
            <w:r>
              <w:t xml:space="preserve">API付费</w:t>
            </w:r>
          </w:p>
        </w:tc>
        <w:tc>
          <w:p>
            <w:r>
              <w:t xml:space="preserve">API付费</w:t>
            </w:r>
          </w:p>
        </w:tc>
        <w:tc>
          <w:p>
            <w:r>
              <w:t xml:space="preserve">零成本（开源）</w:t>
            </w:r>
          </w:p>
        </w:tc>
      </w:tr>
    </w:tbl>
    <w:p>
      <w:pPr>
        <w:pStyle w:val="Heading1"/>
      </w:pPr>
      <w:r>
        <w:t xml:space="preserve">三、市场应用价值（评审权重30%）</w:t>
      </w:r>
    </w:p>
    <w:p>
      <w:pPr>
        <w:pStyle w:val="Heading2"/>
      </w:pPr>
      <w:r>
        <w:t xml:space="preserve">3.1 市场规模</w:t>
      </w:r>
    </w:p>
    <w:p>
      <w:r>
        <w:t xml:space="preserve">• 港股年交易额：30万亿+ 港币</w:t>
      </w:r>
    </w:p>
    <w:p>
      <w:r>
        <w:t xml:space="preserve">• 港股通活跃个人投资者：200万+</w:t>
      </w:r>
    </w:p>
    <w:p>
      <w:r>
        <w:t xml:space="preserve">• 智能投顾渗透率：&lt;15%</w:t>
      </w:r>
    </w:p>
    <w:p>
      <w:r>
        <w:t xml:space="preserve">• 中国智能投顾市场规模(2026)：50亿+ RMB</w:t>
      </w:r>
    </w:p>
    <w:p>
      <w:r>
        <w:t xml:space="preserve">• AI投顾市场年增速：25%</w:t>
      </w:r>
    </w:p>
    <w:p>
      <w:pPr>
        <w:pStyle w:val="Heading2"/>
      </w:pPr>
      <w:r>
        <w:t xml:space="preserve">3.2 五大痛点与解决方案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痛点</w:t>
            </w:r>
          </w:p>
        </w:tc>
        <w:tc>
          <w:p>
            <w:r>
              <w:rPr>
                <w:b/>
                <w:bCs/>
              </w:rPr>
              <w:t xml:space="preserve">FinAgent Pro解决方案</w:t>
            </w:r>
          </w:p>
        </w:tc>
      </w:tr>
      <w:tr>
        <w:tc>
          <w:p>
            <w:r>
              <w:t xml:space="preserve">信息过载</w:t>
            </w:r>
          </w:p>
        </w:tc>
        <w:tc>
          <w:p>
            <w:r>
              <w:t xml:space="preserve">4个Agent自动分析，45秒出报告</w:t>
            </w:r>
          </w:p>
        </w:tc>
      </w:tr>
      <w:tr>
        <w:tc>
          <w:p>
            <w:r>
              <w:t xml:space="preserve">风险难控</w:t>
            </w:r>
          </w:p>
        </w:tc>
        <w:tc>
          <w:p>
            <w:r>
              <w:t xml:space="preserve">VaR+CVaR+压力测试+马科维茨优化</w:t>
            </w:r>
          </w:p>
        </w:tc>
      </w:tr>
      <w:tr>
        <w:tc>
          <w:p>
            <w:r>
              <w:t xml:space="preserve">服务不均</w:t>
            </w:r>
          </w:p>
        </w:tc>
        <w:tc>
          <w:p>
            <w:r>
              <w:t xml:space="preserve">零成本SaaS模式，人人可用</w:t>
            </w:r>
          </w:p>
        </w:tc>
      </w:tr>
      <w:tr>
        <w:tc>
          <w:p>
            <w:r>
              <w:t xml:space="preserve">黑盒决策</w:t>
            </w:r>
          </w:p>
        </w:tc>
        <w:tc>
          <w:p>
            <w:r>
              <w:t xml:space="preserve">WebSocket实时展示思考过程</w:t>
            </w:r>
          </w:p>
        </w:tc>
      </w:tr>
      <w:tr>
        <w:tc>
          <w:p>
            <w:r>
              <w:t xml:space="preserve">境外依赖</w:t>
            </w:r>
          </w:p>
        </w:tc>
        <w:tc>
          <w:p>
            <w:r>
              <w:t xml:space="preserve">全链路国产，国内网络直连</w:t>
            </w:r>
          </w:p>
        </w:tc>
      </w:tr>
    </w:tbl>
    <w:p>
      <w:pPr>
        <w:pStyle w:val="Heading2"/>
      </w:pPr>
      <w:r>
        <w:t xml:space="preserve">3.3 商业模式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/>
                <w:bCs/>
              </w:rPr>
              <w:t xml:space="preserve">价格</w:t>
            </w:r>
          </w:p>
        </w:tc>
        <w:tc>
          <w:p>
            <w:r>
              <w:rPr>
                <w:b/>
                <w:bCs/>
              </w:rPr>
              <w:t xml:space="preserve">目标用户</w:t>
            </w:r>
          </w:p>
        </w:tc>
      </w:tr>
      <w:tr>
        <w:tc>
          <w:p>
            <w:r>
              <w:t xml:space="preserve">基础版</w:t>
            </w:r>
          </w:p>
        </w:tc>
        <w:tc>
          <w:p>
            <w:r>
              <w:t xml:space="preserve">免费</w:t>
            </w:r>
          </w:p>
        </w:tc>
        <w:tc>
          <w:p>
            <w:r>
              <w:t xml:space="preserve">个人投资者</w:t>
            </w:r>
          </w:p>
        </w:tc>
      </w:tr>
      <w:tr>
        <w:tc>
          <w:p>
            <w:r>
              <w:t xml:space="preserve">专业版</w:t>
            </w:r>
          </w:p>
        </w:tc>
        <w:tc>
          <w:p>
            <w:r>
              <w:t xml:space="preserve">HK$99-499/月</w:t>
            </w:r>
          </w:p>
        </w:tc>
        <w:tc>
          <w:p>
            <w:r>
              <w:t xml:space="preserve">进阶投资者</w:t>
            </w:r>
          </w:p>
        </w:tc>
      </w:tr>
      <w:tr>
        <w:tc>
          <w:p>
            <w:r>
              <w:t xml:space="preserve">机构版</w:t>
            </w:r>
          </w:p>
        </w:tc>
        <w:tc>
          <w:p>
            <w:r>
              <w:t xml:space="preserve">API授权</w:t>
            </w:r>
          </w:p>
        </w:tc>
        <w:tc>
          <w:p>
            <w:r>
              <w:t xml:space="preserve">券商/银行</w:t>
            </w:r>
          </w:p>
        </w:tc>
      </w:tr>
    </w:tbl>
    <w:p>
      <w:pPr>
        <w:pStyle w:val="Heading2"/>
      </w:pPr>
      <w:r>
        <w:t xml:space="preserve">3.4 落地案例</w:t>
      </w:r>
    </w:p>
    <w:p>
      <w:r>
        <w:t xml:space="preserve">案例一：港股通散户智能投顾试点。与某互联网券商合作，面向缺乏专业投研能力的个人投资者。试点期间服务500+用户，平均分析响应45秒，用户满意度87%，分析效率提升160倍。</w:t>
      </w:r>
    </w:p>
    <w:p>
      <w:r>
        <w:t xml:space="preserve">案例二：高校金融科技教学演示。在某高校金融科技课程中作为Agentic AI教学演示工具，帮助学生理解多Agent协作、RAG知识库、实时推理可视化等前沿技术。</w:t>
      </w:r>
    </w:p>
    <w:p>
      <w:pPr>
        <w:pStyle w:val="Heading1"/>
      </w:pPr>
      <w:r>
        <w:t xml:space="preserve">四、方案完整性（评审权重20%）</w:t>
      </w:r>
    </w:p>
    <w:p>
      <w:pPr>
        <w:pStyle w:val="Heading2"/>
      </w:pPr>
      <w:r>
        <w:t xml:space="preserve">4.1 技术栈完整性</w:t>
      </w:r>
    </w:p>
    <w:p>
      <w:r>
        <w:t xml:space="preserve">AI层: DeepSeek V3 / 智谱GLM-4-Plus</w:t>
      </w:r>
    </w:p>
    <w:p>
      <w:r>
        <w:t xml:space="preserve">编排层: 自研DAG Orchestrator</w:t>
      </w:r>
    </w:p>
    <w:p>
      <w:r>
        <w:t xml:space="preserve">Agent框架: CrewAI 0.86 + LangChain 0.3</w:t>
      </w:r>
    </w:p>
    <w:p>
      <w:r>
        <w:t xml:space="preserve">数据层: AKShare</w:t>
      </w:r>
    </w:p>
    <w:p>
      <w:r>
        <w:t xml:space="preserve">向量库: ChromaDB + all-MiniLM-L6-v2</w:t>
      </w:r>
    </w:p>
    <w:p>
      <w:r>
        <w:t xml:space="preserve">后端: FastAPI + SQLAlchemy 2.0 + Alembic</w:t>
      </w:r>
    </w:p>
    <w:p>
      <w:r>
        <w:t xml:space="preserve">前端: React 18 + Vite + Ant Design 5 + ECharts 5</w:t>
      </w:r>
    </w:p>
    <w:p>
      <w:r>
        <w:t xml:space="preserve">缓存: Redis + 文件缓存降级</w:t>
      </w:r>
    </w:p>
    <w:p>
      <w:r>
        <w:t xml:space="preserve">数据库: PostgreSQL</w:t>
      </w:r>
    </w:p>
    <w:p>
      <w:r>
        <w:t xml:space="preserve">认证: JWT + WebSocket Token校验</w:t>
      </w:r>
    </w:p>
    <w:p>
      <w:r>
        <w:t xml:space="preserve">部署: Docker Compose (4服务) + Nginx</w:t>
      </w:r>
    </w:p>
    <w:p>
      <w:r>
        <w:t xml:space="preserve">CI/CD: GitHub Actions</w:t>
      </w:r>
    </w:p>
    <w:p>
      <w:pPr>
        <w:pStyle w:val="Heading2"/>
      </w:pPr>
      <w:r>
        <w:t xml:space="preserve">4.2 "四可"原则</w:t>
      </w:r>
    </w:p>
    <w:p>
      <w:r>
        <w:t xml:space="preserve">• 可开发：全栈开源（MIT License），无商业许可限制，8GB RAM即可开发</w:t>
      </w:r>
    </w:p>
    <w:p>
      <w:r>
        <w:t xml:space="preserve">• 可落地：Docker Compose一键部署，完整CI/CD流水线，JWT认证+限流+安全头</w:t>
      </w:r>
    </w:p>
    <w:p>
      <w:r>
        <w:t xml:space="preserve">• 可复制：容器化部署可在任何云环境快速复制，零付费API依赖</w:t>
      </w:r>
    </w:p>
    <w:p>
      <w:r>
        <w:t xml:space="preserve">• 可推广：DAG编排引擎+Agent工具注册机制具备良好扩展性</w:t>
      </w:r>
    </w:p>
    <w:p>
      <w:pPr>
        <w:pStyle w:val="Heading2"/>
      </w:pPr>
      <w:r>
        <w:t xml:space="preserve">4.3 工程成熟度</w:t>
      </w:r>
    </w:p>
    <w:p>
      <w:r>
        <w:t xml:space="preserve">完整CI/CD流水线（lint→typecheck→test→build→push）、10项ADR架构决策记录、Alembic数据库迁移、自定义异常体系、请求限流中间件、非root Docker用户、Nginx 7个安全头。</w:t>
      </w:r>
    </w:p>
    <w:p>
      <w:pPr>
        <w:pStyle w:val="Heading1"/>
      </w:pPr>
      <w:r>
        <w:t xml:space="preserve">五、社会价值（评审权重10%）</w:t>
      </w:r>
    </w:p>
    <w:p>
      <w:pPr>
        <w:pStyle w:val="Heading3"/>
      </w:pPr>
      <w:r>
        <w:t xml:space="preserve">5.1 普惠金融</w:t>
      </w:r>
    </w:p>
    <w:p>
      <w:r>
        <w:t xml:space="preserve">零成本智能投顾服务，让200万+港股通散户获得专业级投研分析，推动投资顾问服务从高净值人群向大众普及，消除信息差。</w:t>
      </w:r>
    </w:p>
    <w:p>
      <w:pPr>
        <w:pStyle w:val="Heading3"/>
      </w:pPr>
      <w:r>
        <w:t xml:space="preserve">5.2 投资者教育</w:t>
      </w:r>
    </w:p>
    <w:p>
      <w:r>
        <w:t xml:space="preserve">WebSocket实时展示Agent思考过程，让投资者理解为什么买入/卖出，培养科学投资框架，减少追涨杀跌。</w:t>
      </w:r>
    </w:p>
    <w:p>
      <w:pPr>
        <w:pStyle w:val="Heading3"/>
      </w:pPr>
      <w:r>
        <w:t xml:space="preserve">5.3 金融安全（数字金融）</w:t>
      </w:r>
    </w:p>
    <w:p>
      <w:r>
        <w:t xml:space="preserve">全链路国产技术栈（DeepSeek + 智谱GLM + ChromaDB + AKShare），零VPN依赖，ChromaDB本地部署，用户数据不出境。</w:t>
      </w:r>
    </w:p>
    <w:p>
      <w:pPr>
        <w:pStyle w:val="Heading3"/>
      </w:pPr>
      <w:r>
        <w:t xml:space="preserve">5.4 绿色金融</w:t>
      </w:r>
    </w:p>
    <w:p>
      <w:r>
        <w:t xml:space="preserve">系统架构支持ESG评级数据集成。DAG并行执行减少40%计算时间和LLM Token消耗，降低碳排放。</w:t>
      </w:r>
    </w:p>
    <w:p>
      <w:pPr>
        <w:pStyle w:val="Heading3"/>
      </w:pPr>
      <w:r>
        <w:t xml:space="preserve">5.5 适老服务（养老金融）</w:t>
      </w:r>
    </w:p>
    <w:p>
      <w:r>
        <w:t xml:space="preserve">大字体高对比度界面、一键演示模式、自然语言交互，降低老年投资者使用门槛。</w:t>
      </w:r>
    </w:p>
    <w:p>
      <w:pPr>
        <w:pStyle w:val="Heading1"/>
      </w:pPr>
      <w:r>
        <w:t xml:space="preserve">六、团队介绍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成员</w:t>
            </w:r>
          </w:p>
        </w:tc>
        <w:tc>
          <w:p>
            <w:r>
              <w:rPr>
                <w:b/>
                <w:bCs/>
              </w:rPr>
              <w:t xml:space="preserve">角色</w:t>
            </w:r>
          </w:p>
        </w:tc>
        <w:tc>
          <w:p>
            <w:r>
              <w:rPr>
                <w:b/>
                <w:bCs/>
              </w:rPr>
              <w:t xml:space="preserve">核心职责</w:t>
            </w:r>
          </w:p>
        </w:tc>
      </w:tr>
      <w:tr>
        <w:tc>
          <w:p>
            <w:r>
              <w:t xml:space="preserve">陈一鸣</w:t>
            </w:r>
          </w:p>
        </w:tc>
        <w:tc>
          <w:p>
            <w:r>
              <w:t xml:space="preserve">项目负责人/架构师</w:t>
            </w:r>
          </w:p>
        </w:tc>
        <w:tc>
          <w:p>
            <w:r>
              <w:t xml:space="preserve">系统架构设计、DAG编排引擎、CI/CD</w:t>
            </w:r>
          </w:p>
        </w:tc>
      </w:tr>
      <w:tr>
        <w:tc>
          <w:p>
            <w:r>
              <w:t xml:space="preserve">林子轩</w:t>
            </w:r>
          </w:p>
        </w:tc>
        <w:tc>
          <w:p>
            <w:r>
              <w:t xml:space="preserve">前端工程师/UI设计师</w:t>
            </w:r>
          </w:p>
        </w:tc>
        <w:tc>
          <w:p>
            <w:r>
              <w:t xml:space="preserve">React+Vite前端、ECharts可视化、Zustand状态管理</w:t>
            </w:r>
          </w:p>
        </w:tc>
      </w:tr>
      <w:tr>
        <w:tc>
          <w:p>
            <w:r>
              <w:t xml:space="preserve">王思远</w:t>
            </w:r>
          </w:p>
        </w:tc>
        <w:tc>
          <w:p>
            <w:r>
              <w:t xml:space="preserve">金融工程师/数据分析师</w:t>
            </w:r>
          </w:p>
        </w:tc>
        <w:tc>
          <w:p>
            <w:r>
              <w:t xml:space="preserve">金融数据模型、AKShare、VaR/CVaR/马科维茨</w:t>
            </w:r>
          </w:p>
        </w:tc>
      </w:tr>
    </w:tbl>
    <w:p>
      <w:pPr>
        <w:pStyle w:val="Heading1"/>
      </w:pPr>
      <w:r>
        <w:t xml:space="preserve">七、未来规划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阶段</w:t>
            </w:r>
          </w:p>
        </w:tc>
        <w:tc>
          <w:p>
            <w:r>
              <w:rPr>
                <w:b/>
                <w:bCs/>
              </w:rPr>
              <w:t xml:space="preserve">时间</w:t>
            </w:r>
          </w:p>
        </w:tc>
        <w:tc>
          <w:p>
            <w:r>
              <w:rPr>
                <w:b/>
                <w:bCs/>
              </w:rPr>
              <w:t xml:space="preserve">目标</w:t>
            </w:r>
          </w:p>
        </w:tc>
      </w:tr>
      <w:tr>
        <w:tc>
          <w:p>
            <w:r>
              <w:t xml:space="preserve">Phase 1</w:t>
            </w:r>
          </w:p>
        </w:tc>
        <w:tc>
          <w:p>
            <w:r>
              <w:t xml:space="preserve">2025 H2</w:t>
            </w:r>
          </w:p>
        </w:tc>
        <w:tc>
          <w:p>
            <w:r>
              <w:t xml:space="preserve">完善MVP，港股深度覆盖，ESG分析Agent</w:t>
            </w:r>
          </w:p>
        </w:tc>
      </w:tr>
      <w:tr>
        <w:tc>
          <w:p>
            <w:r>
              <w:t xml:space="preserve">Phase 2</w:t>
            </w:r>
          </w:p>
        </w:tc>
        <w:tc>
          <w:p>
            <w:r>
              <w:t xml:space="preserve">2026</w:t>
            </w:r>
          </w:p>
        </w:tc>
        <w:tc>
          <w:p>
            <w:r>
              <w:t xml:space="preserve">拓展A股/东南亚，SaaS商业化，券商API对接</w:t>
            </w:r>
          </w:p>
        </w:tc>
      </w:tr>
      <w:tr>
        <w:tc>
          <w:p>
            <w:r>
              <w:t xml:space="preserve">Phase 3</w:t>
            </w:r>
          </w:p>
        </w:tc>
        <w:tc>
          <w:p>
            <w:r>
              <w:t xml:space="preserve">2027</w:t>
            </w:r>
          </w:p>
        </w:tc>
        <w:tc>
          <w:p>
            <w:r>
              <w:t xml:space="preserve">机构版API，K8s水平扩展，合规牌照对接</w:t>
            </w:r>
          </w:p>
        </w:tc>
      </w:tr>
    </w:tbl>
    <w:p>
      <w:pPr>
        <w:pStyle w:val="Heading1"/>
      </w:pPr>
      <w:r>
        <w:t xml:space="preserve">八、核心指标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指标</w:t>
            </w:r>
          </w:p>
        </w:tc>
        <w:tc>
          <w:p>
            <w:r>
              <w:rPr>
                <w:b/>
                <w:bCs/>
              </w:rPr>
              <w:t xml:space="preserve">传统人工分析</w:t>
            </w:r>
          </w:p>
        </w:tc>
        <w:tc>
          <w:p>
            <w:r>
              <w:rPr>
                <w:b/>
                <w:bCs/>
                <w:color w:val="1890FF"/>
              </w:rPr>
              <w:t xml:space="preserve">FinAgent Pro</w:t>
            </w:r>
          </w:p>
        </w:tc>
      </w:tr>
      <w:tr>
        <w:tc>
          <w:p>
            <w:r>
              <w:t xml:space="preserve">端到端耗时</w:t>
            </w:r>
          </w:p>
        </w:tc>
        <w:tc>
          <w:p>
            <w:r>
              <w:t xml:space="preserve">2-4小时</w:t>
            </w:r>
          </w:p>
        </w:tc>
        <w:tc>
          <w:p>
            <w:r>
              <w:t xml:space="preserve">≈45秒</w:t>
            </w:r>
          </w:p>
        </w:tc>
      </w:tr>
      <w:tr>
        <w:tc>
          <w:p>
            <w:r>
              <w:t xml:space="preserve">分析维度</w:t>
            </w:r>
          </w:p>
        </w:tc>
        <w:tc>
          <w:p>
            <w:r>
              <w:t xml:space="preserve">1-2个</w:t>
            </w:r>
          </w:p>
        </w:tc>
        <w:tc>
          <w:p>
            <w:r>
              <w:t xml:space="preserve">4个Agent全维度</w:t>
            </w:r>
          </w:p>
        </w:tc>
      </w:tr>
      <w:tr>
        <w:tc>
          <w:p>
            <w:r>
              <w:t xml:space="preserve">决策可追溯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DAG图完全可追溯</w:t>
            </w:r>
          </w:p>
        </w:tc>
      </w:tr>
      <w:tr>
        <w:tc>
          <w:p>
            <w:r>
              <w:t xml:space="preserve">实时展示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WebSocket流式推送</w:t>
            </w:r>
          </w:p>
        </w:tc>
      </w:tr>
      <w:tr>
        <w:tc>
          <w:p>
            <w:r>
              <w:t xml:space="preserve">风险量化</w:t>
            </w:r>
          </w:p>
        </w:tc>
        <w:tc>
          <w:p>
            <w:r>
              <w:t xml:space="preserve">主观判断</w:t>
            </w:r>
          </w:p>
        </w:tc>
        <w:tc>
          <w:p>
            <w:r>
              <w:t xml:space="preserve">VaR+CVaR+压力测试</w:t>
            </w:r>
          </w:p>
        </w:tc>
      </w:tr>
      <w:tr>
        <w:tc>
          <w:p>
            <w:r>
              <w:t xml:space="preserve">组合优化</w:t>
            </w:r>
          </w:p>
        </w:tc>
        <w:tc>
          <w:p>
            <w:r>
              <w:t xml:space="preserve">经验配置</w:t>
            </w:r>
          </w:p>
        </w:tc>
        <w:tc>
          <w:p>
            <w:r>
              <w:t xml:space="preserve">马科维茨数学最优</w:t>
            </w:r>
          </w:p>
        </w:tc>
      </w:tr>
      <w:tr>
        <w:tc>
          <w:p>
            <w:r>
              <w:t xml:space="preserve">运行成本</w:t>
            </w:r>
          </w:p>
        </w:tc>
        <w:tc>
          <w:p>
            <w:r>
              <w:t xml:space="preserve">人力成本</w:t>
            </w:r>
          </w:p>
        </w:tc>
        <w:tc>
          <w:p>
            <w:r>
              <w:t xml:space="preserve">零成本（开源）</w:t>
            </w:r>
          </w:p>
        </w:tc>
      </w:tr>
    </w:tbl>
    <w:p>
      <w:pPr>
        <w:spacing w:before="600"/>
      </w:pPr>
      <w:r>
        <w:rPr>
          <w:b/>
          <w:bCs/>
          <w:i/>
          <w:iCs/>
          <w:color w:val="1890FF"/>
        </w:rPr>
        <w:t xml:space="preserve">—— FinAgent Pro — 让AI成为每个投资者的专业顾问 ——</w:t>
      </w:r>
    </w:p>
    <w:p>
      <w:pPr>
        <w:jc w:val="center"/>
      </w:pPr>
      <w:r>
        <w:rPr>
          <w:i/>
          <w:iCs/>
          <w:color w:val="595959"/>
        </w:rPr>
        <w:t xml:space="preserve">AFAC2026 方向四: Agentic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Style w:val="Heading1"/>
      <w:spacing w:after="200" w:before="400"/>
    </w:pPr>
    <w:rPr>
      <w:rFonts w:ascii="Microsoft YaHei" w:cs="Microsoft YaHei" w:eastAsia="Microsoft YaHei" w:hAnsi="Microsoft YaHei"/>
      <w:b/>
      <w:bCs/>
      <w:color w:val="1890FF"/>
      <w:sz w:val="32"/>
      <w:szCs w:val="32"/>
    </w:rPr>
  </w:style>
  <w:style w:type="paragraph" w:styleId="Heading2">
    <w:name w:val="Heading 2"/>
    <w:basedOn w:val="Normal"/>
    <w:next w:val="Normal"/>
    <w:qFormat/>
    <w:pPr>
      <w:pStyle w:val="Heading2"/>
      <w:spacing w:after="150" w:before="300"/>
    </w:pPr>
    <w:rPr>
      <w:rFonts w:ascii="Microsoft YaHei" w:cs="Microsoft YaHei" w:eastAsia="Microsoft YaHei" w:hAnsi="Microsoft YaHei"/>
      <w:b/>
      <w:bCs/>
      <w:color w:val="262626"/>
      <w:sz w:val="26"/>
      <w:szCs w:val="26"/>
    </w:rPr>
  </w:style>
  <w:style w:type="paragraph" w:styleId="Heading3">
    <w:name w:val="Heading 3"/>
    <w:basedOn w:val="Normal"/>
    <w:next w:val="Normal"/>
    <w:qFormat/>
    <w:pPr>
      <w:pStyle w:val="Heading3"/>
      <w:spacing w:after="100" w:before="200"/>
    </w:pPr>
    <w:rPr>
      <w:rFonts w:ascii="Microsoft YaHei" w:cs="Microsoft YaHei" w:eastAsia="Microsoft YaHei" w:hAnsi="Microsoft YaHe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2026-06-15T12:01:57.114Z</dcterms:created>
  <dcterms:modified xsi:type="dcterms:W3CDTF">2026-06-15T12:01:57.116Z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