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600"/>
      </w:pPr>
    </w:p>
    <w:p>
      <w:pPr>
        <w:spacing w:after="600" w:before="600"/>
      </w:pPr>
    </w:p>
    <w:p>
      <w:pPr>
        <w:spacing w:after="80"/>
        <w:jc w:val="center"/>
      </w:pPr>
      <w:r>
        <w:rPr>
          <w:rFonts w:ascii="Arial" w:cs="Arial" w:eastAsia="Arial" w:hAnsi="Arial"/>
          <w:b/>
          <w:bCs/>
          <w:color w:val="1A56DB"/>
          <w:sz w:val="72"/>
          <w:szCs w:val="72"/>
        </w:rPr>
        <w:t xml:space="preserve">FinAgent Pro</w:t>
      </w:r>
    </w:p>
    <w:p>
      <w:pPr>
        <w:spacing w:after="40"/>
        <w:jc w:val="center"/>
      </w:pPr>
      <w:r>
        <w:rPr>
          <w:rFonts w:ascii="Arial" w:cs="Arial" w:eastAsia="Arial" w:hAnsi="Arial"/>
          <w:color w:val="1F2937"/>
          <w:sz w:val="40"/>
          <w:szCs w:val="40"/>
        </w:rPr>
        <w:t xml:space="preserve">多Agent智能投顾系统</w:t>
      </w:r>
    </w:p>
    <w:p>
      <w:pPr>
        <w:spacing w:after="200" w:before="200"/>
      </w:pPr>
    </w:p>
    <w:p>
      <w:pPr>
        <w:jc w:val="center"/>
      </w:pPr>
      <w:r>
        <w:rPr>
          <w:rFonts w:ascii="Arial" w:cs="Arial" w:eastAsia="Arial" w:hAnsi="Arial"/>
          <w:color w:val="6B7280"/>
          <w:sz w:val="20"/>
          <w:szCs w:val="20"/>
        </w:rPr>
        <w:t xml:space="preserve">────────────────────────────────────────</w:t>
      </w:r>
    </w:p>
    <w:p>
      <w:pPr>
        <w:spacing w:after="200" w:before="200"/>
      </w:pPr>
    </w:p>
    <w:p>
      <w:pPr>
        <w:spacing w:after="120"/>
        <w:jc w:val="center"/>
      </w:pPr>
      <w:r>
        <w:rPr>
          <w:rFonts w:ascii="Arial" w:cs="Arial" w:eastAsia="Arial" w:hAnsi="Arial"/>
          <w:b/>
          <w:bCs/>
          <w:color w:val="1F2937"/>
          <w:sz w:val="36"/>
          <w:szCs w:val="36"/>
        </w:rPr>
        <w:t xml:space="preserve">系统优化工程总结报告</w:t>
      </w:r>
    </w:p>
    <w:p>
      <w:pPr>
        <w:spacing w:after="80"/>
        <w:jc w:val="center"/>
      </w:pPr>
      <w:r>
        <w:rPr>
          <w:rFonts w:ascii="Arial" w:cs="Arial" w:eastAsia="Arial" w:hAnsi="Arial"/>
          <w:i/>
          <w:iCs/>
          <w:color w:val="6B7280"/>
          <w:sz w:val="24"/>
          <w:szCs w:val="24"/>
        </w:rPr>
        <w:t xml:space="preserve">System Optimization Engineering Report</w:t>
      </w:r>
    </w:p>
    <w:p>
      <w:pPr>
        <w:spacing w:after="400" w:before="400"/>
      </w:pPr>
    </w:p>
    <w:p>
      <w:pPr>
        <w:spacing w:after="80"/>
        <w:jc w:val="center"/>
      </w:pPr>
      <w:r>
        <w:rPr>
          <w:rFonts w:ascii="Arial" w:cs="Arial" w:eastAsia="Arial" w:hAnsi="Arial"/>
          <w:color w:val="0E9F6E"/>
          <w:sz w:val="24"/>
          <w:szCs w:val="24"/>
        </w:rPr>
        <w:t xml:space="preserve">AFAC2026 金融智能创新大赛</w:t>
      </w:r>
    </w:p>
    <w:p>
      <w:pPr>
        <w:spacing w:after="80"/>
        <w:jc w:val="center"/>
      </w:pPr>
      <w:r>
        <w:rPr>
          <w:rFonts w:ascii="Arial" w:cs="Arial" w:eastAsia="Arial" w:hAnsi="Arial"/>
          <w:color w:val="6B7280"/>
          <w:sz w:val="22"/>
          <w:szCs w:val="22"/>
        </w:rPr>
        <w:t xml:space="preserve">方向四：Frontier Technology — Agentic AI</w:t>
      </w:r>
    </w:p>
    <w:p>
      <w:pPr>
        <w:spacing w:after="600" w:before="600"/>
      </w:pPr>
    </w:p>
    <w:p>
      <w:pPr>
        <w:spacing w:after="60"/>
        <w:jc w:val="center"/>
      </w:pPr>
      <w:r>
        <w:rPr>
          <w:rFonts w:ascii="Arial" w:cs="Arial" w:eastAsia="Arial" w:hAnsi="Arial"/>
          <w:color w:val="1F2937"/>
          <w:sz w:val="22"/>
          <w:szCs w:val="22"/>
        </w:rPr>
        <w:t xml:space="preserve">FinAgent Pro Team</w:t>
      </w:r>
    </w:p>
    <w:p>
      <w:pPr>
        <w:jc w:val="center"/>
      </w:pPr>
      <w:r>
        <w:rPr>
          <w:rFonts w:ascii="Arial" w:cs="Arial" w:eastAsia="Arial" w:hAnsi="Arial"/>
          <w:color w:val="6B7280"/>
          <w:sz w:val="22"/>
          <w:szCs w:val="22"/>
        </w:rPr>
        <w:t xml:space="preserve">2026年6月</w:t>
      </w:r>
    </w:p>
    <w:p>
      <w:pPr>
        <w:sectPr>
          <w:pgSz w:w="11906" w:h="16838" w:orient="portrait"/>
          <w:pgMar w:top="1440" w:right="1440" w:bottom="1440" w:left="1440" w:header="708" w:footer="708" w:gutter="0"/>
          <w:pgNumType/>
          <w:docGrid w:linePitch="360"/>
        </w:sectPr>
      </w:pPr>
    </w:p>
    <w:p>
      <w:pPr>
        <w:pStyle w:val="Heading1"/>
        <w:spacing w:after="240" w:before="360"/>
      </w:pPr>
      <w:r>
        <w:rPr>
          <w:rFonts w:ascii="Arial" w:cs="Arial" w:eastAsia="Arial" w:hAnsi="Arial"/>
          <w:b/>
          <w:bCs/>
          <w:color w:val="1A56DB"/>
          <w:sz w:val="36"/>
          <w:szCs w:val="36"/>
        </w:rPr>
        <w:t xml:space="preserve">1  项目概述</w:t>
      </w:r>
    </w:p>
    <w:p>
      <w:pPr>
        <w:pStyle w:val="Heading2"/>
        <w:spacing w:after="160" w:before="240"/>
      </w:pPr>
      <w:r>
        <w:rPr>
          <w:rFonts w:ascii="Arial" w:cs="Arial" w:eastAsia="Arial" w:hAnsi="Arial"/>
          <w:b/>
          <w:bCs/>
          <w:color w:val="1F2937"/>
          <w:sz w:val="28"/>
          <w:szCs w:val="28"/>
        </w:rPr>
        <w:t xml:space="preserve">1.1  项目定位</w:t>
      </w:r>
    </w:p>
    <w:p>
      <w:pPr>
        <w:spacing w:after="160" w:line="360"/>
      </w:pPr>
      <w:r>
        <w:rPr>
          <w:rFonts w:ascii="Arial" w:cs="Arial" w:eastAsia="Arial" w:hAnsi="Arial"/>
          <w:color w:val="1F2937"/>
          <w:sz w:val="22"/>
          <w:szCs w:val="22"/>
        </w:rPr>
        <w:t xml:space="preserve">FinAgent Pro 是一套基于大语言模型（LLM）与多智能体协作技术构建的智能投顾系统，定位为金融领域的“数字员工”——能够自主规划、决策并执行复杂金融任务。系统聚焦港股市场，通过 Orchestrator 编排器协调四个专业 Agent（市场分析师、情绪扫描器、风险经理、组合顾问）形成链式多智能体协作流，实现从数据采集→技术分析→情绪感知→风险评估→组合配置的闭环决策。</w:t>
      </w:r>
    </w:p>
    <w:p>
      <w:pPr>
        <w:pStyle w:val="Heading2"/>
        <w:spacing w:after="160" w:before="240"/>
      </w:pPr>
      <w:r>
        <w:rPr>
          <w:rFonts w:ascii="Arial" w:cs="Arial" w:eastAsia="Arial" w:hAnsi="Arial"/>
          <w:b/>
          <w:bCs/>
          <w:color w:val="1F2937"/>
          <w:sz w:val="28"/>
          <w:szCs w:val="28"/>
        </w:rPr>
        <w:t xml:space="preserve">1.2  技术栈总览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层次</w:t>
            </w:r>
          </w:p>
        </w:tc>
        <w:tc>
          <w:tcPr>
            <w:tcW w:type="dxa" w:w="358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技术选型</w:t>
            </w:r>
          </w:p>
        </w:tc>
        <w:tc>
          <w:tcPr>
            <w:tcW w:type="dxa" w:w="358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版本与说明</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20"/>
                <w:szCs w:val="20"/>
              </w:rPr>
              <w:t xml:space="preserve">后端框架</w:t>
            </w:r>
          </w:p>
        </w:tc>
        <w:tc>
          <w:tcPr>
            <w:tcW w:type="dxa" w:w="35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FastAPI + Uvicorn</w:t>
            </w:r>
          </w:p>
        </w:tc>
        <w:tc>
          <w:tcPr>
            <w:tcW w:type="dxa" w:w="35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v0.115 / 2 workers / ASGI</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20"/>
                <w:szCs w:val="20"/>
              </w:rPr>
              <w:t xml:space="preserve">智能体框架</w:t>
            </w:r>
          </w:p>
        </w:tc>
        <w:tc>
          <w:tcPr>
            <w:tcW w:type="dxa" w:w="35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LangChain + CrewAI</w:t>
            </w:r>
          </w:p>
        </w:tc>
        <w:tc>
          <w:tcPr>
            <w:tcW w:type="dxa" w:w="35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DeepSeek主 + 智谱GLM备</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20"/>
                <w:szCs w:val="20"/>
              </w:rPr>
              <w:t xml:space="preserve">前端框架</w:t>
            </w:r>
          </w:p>
        </w:tc>
        <w:tc>
          <w:tcPr>
            <w:tcW w:type="dxa" w:w="35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React 18 + TypeScript</w:t>
            </w:r>
          </w:p>
        </w:tc>
        <w:tc>
          <w:tcPr>
            <w:tcW w:type="dxa" w:w="35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Ant Design 5 + ECharts 5</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20"/>
                <w:szCs w:val="20"/>
              </w:rPr>
              <w:t xml:space="preserve">数据层</w:t>
            </w:r>
          </w:p>
        </w:tc>
        <w:tc>
          <w:tcPr>
            <w:tcW w:type="dxa" w:w="35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PostgreSQL 16 + Redis 7</w:t>
            </w:r>
          </w:p>
        </w:tc>
        <w:tc>
          <w:tcPr>
            <w:tcW w:type="dxa" w:w="35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SQLAlchemy 2.0 async / asyncpg</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20"/>
                <w:szCs w:val="20"/>
              </w:rPr>
              <w:t xml:space="preserve">知识库</w:t>
            </w:r>
          </w:p>
        </w:tc>
        <w:tc>
          <w:tcPr>
            <w:tcW w:type="dxa" w:w="35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ChromaDB</w:t>
            </w:r>
          </w:p>
        </w:tc>
        <w:tc>
          <w:tcPr>
            <w:tcW w:type="dxa" w:w="35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RAG 语义检索增强</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20"/>
                <w:szCs w:val="20"/>
              </w:rPr>
              <w:t xml:space="preserve">金融数据</w:t>
            </w:r>
          </w:p>
        </w:tc>
        <w:tc>
          <w:tcPr>
            <w:tcW w:type="dxa" w:w="35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AKShare + Pandas</w:t>
            </w:r>
          </w:p>
        </w:tc>
        <w:tc>
          <w:tcPr>
            <w:tcW w:type="dxa" w:w="35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港股实时行情 + 技术指标</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20"/>
                <w:szCs w:val="20"/>
              </w:rPr>
              <w:t xml:space="preserve">部署</w:t>
            </w:r>
          </w:p>
        </w:tc>
        <w:tc>
          <w:tcPr>
            <w:tcW w:type="dxa" w:w="35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Docker Compose</w:t>
            </w:r>
          </w:p>
        </w:tc>
        <w:tc>
          <w:tcPr>
            <w:tcW w:type="dxa" w:w="35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4 服务 / Nginx 反代 / GHCR</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20"/>
                <w:szCs w:val="20"/>
              </w:rPr>
              <w:t xml:space="preserve">CI/CD</w:t>
            </w:r>
          </w:p>
        </w:tc>
        <w:tc>
          <w:tcPr>
            <w:tcW w:type="dxa" w:w="35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GitHub Actions</w:t>
            </w:r>
          </w:p>
        </w:tc>
        <w:tc>
          <w:tcPr>
            <w:tcW w:type="dxa" w:w="35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3-job pipeline / Codecov</w:t>
            </w:r>
          </w:p>
        </w:tc>
      </w:tr>
    </w:tbl>
    <w:p>
      <w:pPr>
        <w:pStyle w:val="Heading2"/>
        <w:spacing w:after="160" w:before="240"/>
      </w:pPr>
      <w:r>
        <w:rPr>
          <w:rFonts w:ascii="Arial" w:cs="Arial" w:eastAsia="Arial" w:hAnsi="Arial"/>
          <w:b/>
          <w:bCs/>
          <w:color w:val="1F2937"/>
          <w:sz w:val="28"/>
          <w:szCs w:val="28"/>
        </w:rPr>
        <w:t xml:space="preserve">1.3  系统架构</w:t>
      </w:r>
    </w:p>
    <w:p>
      <w:pPr>
        <w:spacing w:after="160" w:line="360"/>
      </w:pPr>
      <w:r>
        <w:rPr>
          <w:rFonts w:ascii="Arial" w:cs="Arial" w:eastAsia="Arial" w:hAnsi="Arial"/>
          <w:color w:val="1F2937"/>
          <w:sz w:val="22"/>
          <w:szCs w:val="22"/>
        </w:rPr>
        <w:t xml:space="preserve">系统采用四层架构设计：前端展现层（React SPA）→ API 网关层（FastAPI + Nginx）→ 多智能体协作层（Orchestrator + 4 Agents）→ 数据与基础设施层（PostgreSQL + Redis + ChromaDB）。各层通过 WebSocket 实时推送、REST API 和异步消息通信，实现从用户请求到智能决策的端到端闭环。</w:t>
      </w:r>
    </w:p>
    <w:p>
      <w:pPr>
        <w:spacing w:after="160" w:line="360"/>
      </w:pPr>
      <w:r>
        <w:rPr>
          <w:rFonts w:ascii="Arial" w:cs="Arial" w:eastAsia="Arial" w:hAnsi="Arial"/>
          <w:color w:val="1F2937"/>
          <w:sz w:val="22"/>
          <w:szCs w:val="22"/>
        </w:rPr>
        <w:t xml:space="preserve">四个专业 Agent 的协作链路为：Market Analyst（AKShare 数据 + 技术指标计算）→ Sentiment Scanner（资金流向 + RSI 情绪分析）→ Risk Manager（VaR / CVaR / Sharpe 风险评估）→ Portfolio Advisor（资产配置方案生成）。Orchestrator 负责任务规划、容错降级和知识库注入，确保整个链路的可靠性。</w:t>
      </w:r>
    </w:p>
    <w:p>
      <w:r>
        <w:br w:type="page"/>
      </w:r>
    </w:p>
    <w:p>
      <w:pPr>
        <w:pStyle w:val="Heading1"/>
        <w:spacing w:after="240" w:before="360"/>
      </w:pPr>
      <w:r>
        <w:rPr>
          <w:rFonts w:ascii="Arial" w:cs="Arial" w:eastAsia="Arial" w:hAnsi="Arial"/>
          <w:b/>
          <w:bCs/>
          <w:color w:val="1A56DB"/>
          <w:sz w:val="36"/>
          <w:szCs w:val="36"/>
        </w:rPr>
        <w:t xml:space="preserve">2  优化工程总览</w:t>
      </w:r>
    </w:p>
    <w:p>
      <w:pPr>
        <w:pStyle w:val="Heading2"/>
        <w:spacing w:after="160" w:before="240"/>
      </w:pPr>
      <w:r>
        <w:rPr>
          <w:rFonts w:ascii="Arial" w:cs="Arial" w:eastAsia="Arial" w:hAnsi="Arial"/>
          <w:b/>
          <w:bCs/>
          <w:color w:val="1F2937"/>
          <w:sz w:val="28"/>
          <w:szCs w:val="28"/>
        </w:rPr>
        <w:t xml:space="preserve">2.1  优化目标</w:t>
      </w:r>
    </w:p>
    <w:p>
      <w:pPr>
        <w:spacing w:after="160" w:line="360"/>
      </w:pPr>
      <w:r>
        <w:rPr>
          <w:rFonts w:ascii="Arial" w:cs="Arial" w:eastAsia="Arial" w:hAnsi="Arial"/>
          <w:color w:val="1F2937"/>
          <w:sz w:val="22"/>
          <w:szCs w:val="22"/>
        </w:rPr>
        <w:t xml:space="preserve">本次优化工程的核心目标是将 FinAgent Pro 从“功能可用”提升至“生产就绪”，覆盖 CI/CD 工程化、安全加固、测试覆盖和前端类型安全四个维度。共计实施 55 项优化措施，分四层递进式执行，每一层均通过 CI 流水线自动验证。</w:t>
      </w:r>
    </w:p>
    <w:p>
      <w:pPr>
        <w:pStyle w:val="Heading2"/>
        <w:spacing w:after="160" w:before="240"/>
      </w:pPr>
      <w:r>
        <w:rPr>
          <w:rFonts w:ascii="Arial" w:cs="Arial" w:eastAsia="Arial" w:hAnsi="Arial"/>
          <w:b/>
          <w:bCs/>
          <w:color w:val="1F2937"/>
          <w:sz w:val="28"/>
          <w:szCs w:val="28"/>
        </w:rPr>
        <w:t xml:space="preserve">2.2  四层优化模型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360"/>
        <w:gridCol w:w="2800"/>
      </w:tblGrid>
      <w:tr>
        <w:tc>
          <w:tcPr>
            <w:tcW w:type="dxa" w:w="8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层</w:t>
            </w:r>
          </w:p>
        </w:tc>
        <w:tc>
          <w:tcPr>
            <w:tcW w:type="dxa" w:w="24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主题</w:t>
            </w:r>
          </w:p>
        </w:tc>
        <w:tc>
          <w:tcPr>
            <w:tcW w:type="dxa" w:w="336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核心内容</w:t>
            </w:r>
          </w:p>
        </w:tc>
        <w:tc>
          <w:tcPr>
            <w:tcW w:type="dxa" w:w="28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状态</w:t>
            </w:r>
          </w:p>
        </w:tc>
      </w:tr>
      <w:tr>
        <w:tc>
          <w:tcPr>
            <w:tcW w:type="dxa" w:w="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center"/>
            </w:pPr>
            <w:r>
              <w:rPr>
                <w:rFonts w:ascii="Arial" w:cs="Arial" w:eastAsia="Arial" w:hAnsi="Arial"/>
                <w:b/>
                <w:bCs/>
                <w:color w:val="1F2937"/>
                <w:sz w:val="20"/>
                <w:szCs w:val="20"/>
              </w:rPr>
              <w:t xml:space="preserve">L1</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20"/>
                <w:szCs w:val="20"/>
              </w:rPr>
              <w:t xml:space="preserve">CI/CD 工程化</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3-job pipeline / Docker 多阶段构建 / GHCR 镜像推送</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0E9F6E"/>
                <w:sz w:val="20"/>
                <w:szCs w:val="20"/>
              </w:rPr>
              <w:t xml:space="preserve">✓ 已完成</w:t>
            </w:r>
          </w:p>
        </w:tc>
      </w:tr>
      <w:tr>
        <w:tc>
          <w:tcPr>
            <w:tcW w:type="dxa" w:w="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center"/>
            </w:pPr>
            <w:r>
              <w:rPr>
                <w:rFonts w:ascii="Arial" w:cs="Arial" w:eastAsia="Arial" w:hAnsi="Arial"/>
                <w:b/>
                <w:bCs/>
                <w:color w:val="1F2937"/>
                <w:sz w:val="20"/>
                <w:szCs w:val="20"/>
              </w:rPr>
              <w:t xml:space="preserve">L2</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20"/>
                <w:szCs w:val="20"/>
              </w:rPr>
              <w:t xml:space="preserve">安全加固</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CORS 净化 / 异常脱敏 / Redis 滑动窗口限流 / WS 限流</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0E9F6E"/>
                <w:sz w:val="20"/>
                <w:szCs w:val="20"/>
              </w:rPr>
              <w:t xml:space="preserve">✓ 已完成</w:t>
            </w:r>
          </w:p>
        </w:tc>
      </w:tr>
      <w:tr>
        <w:tc>
          <w:tcPr>
            <w:tcW w:type="dxa" w:w="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center"/>
            </w:pPr>
            <w:r>
              <w:rPr>
                <w:rFonts w:ascii="Arial" w:cs="Arial" w:eastAsia="Arial" w:hAnsi="Arial"/>
                <w:b/>
                <w:bCs/>
                <w:color w:val="1F2937"/>
                <w:sz w:val="20"/>
                <w:szCs w:val="20"/>
              </w:rPr>
              <w:t xml:space="preserve">L3</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20"/>
                <w:szCs w:val="20"/>
              </w:rPr>
              <w:t xml:space="preserve">测试覆盖</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5 个新测试文件 / 46KB 测试代码 / 9 个测试模块</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0E9F6E"/>
                <w:sz w:val="20"/>
                <w:szCs w:val="20"/>
              </w:rPr>
              <w:t xml:space="preserve">✓ 已完成</w:t>
            </w:r>
          </w:p>
        </w:tc>
      </w:tr>
      <w:tr>
        <w:tc>
          <w:tcPr>
            <w:tcW w:type="dxa" w:w="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center"/>
            </w:pPr>
            <w:r>
              <w:rPr>
                <w:rFonts w:ascii="Arial" w:cs="Arial" w:eastAsia="Arial" w:hAnsi="Arial"/>
                <w:b/>
                <w:bCs/>
                <w:color w:val="1F2937"/>
                <w:sz w:val="20"/>
                <w:szCs w:val="20"/>
              </w:rPr>
              <w:t xml:space="preserve">L4</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20"/>
                <w:szCs w:val="20"/>
              </w:rPr>
              <w:t xml:space="preserve">前端类型安全</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消除 21 处 any / 共享 types.ts / ARIA 无障碍</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0E9F6E"/>
                <w:sz w:val="20"/>
                <w:szCs w:val="20"/>
              </w:rPr>
              <w:t xml:space="preserve">✓ 已完成</w:t>
            </w:r>
          </w:p>
        </w:tc>
      </w:tr>
    </w:tbl>
    <w:p>
      <w:r>
        <w:br w:type="page"/>
      </w:r>
    </w:p>
    <w:p>
      <w:pPr>
        <w:pStyle w:val="Heading1"/>
        <w:spacing w:after="240" w:before="360"/>
      </w:pPr>
      <w:r>
        <w:rPr>
          <w:rFonts w:ascii="Arial" w:cs="Arial" w:eastAsia="Arial" w:hAnsi="Arial"/>
          <w:b/>
          <w:bCs/>
          <w:color w:val="1A56DB"/>
          <w:sz w:val="36"/>
          <w:szCs w:val="36"/>
        </w:rPr>
        <w:t xml:space="preserve">3  Layer 1 — CI/CD 工程化</w:t>
      </w:r>
    </w:p>
    <w:p>
      <w:pPr>
        <w:pStyle w:val="Heading2"/>
        <w:spacing w:after="160" w:before="240"/>
      </w:pPr>
      <w:r>
        <w:rPr>
          <w:rFonts w:ascii="Arial" w:cs="Arial" w:eastAsia="Arial" w:hAnsi="Arial"/>
          <w:b/>
          <w:bCs/>
          <w:color w:val="1F2937"/>
          <w:sz w:val="28"/>
          <w:szCs w:val="28"/>
        </w:rPr>
        <w:t xml:space="preserve">3.1  GitHub Actions 三阶段流水线</w:t>
      </w:r>
    </w:p>
    <w:p>
      <w:pPr>
        <w:spacing w:after="160" w:line="360"/>
      </w:pPr>
      <w:r>
        <w:rPr>
          <w:rFonts w:ascii="Arial" w:cs="Arial" w:eastAsia="Arial" w:hAnsi="Arial"/>
          <w:color w:val="1F2937"/>
          <w:sz w:val="22"/>
          <w:szCs w:val="22"/>
        </w:rPr>
        <w:t xml:space="preserve">构建了严格的三阶段 CI/CD 流水线，每个阶段依赖前一阶段成功才能执行，确保代码质量门禁严格执行。触发条件为 push 到 main/master/develop 或 PR 到 main/master。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c>
          <w:tcPr>
            <w:tcW w:type="dxa" w:w="16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Job</w:t>
            </w:r>
          </w:p>
        </w:tc>
        <w:tc>
          <w:tcPr>
            <w:tcW w:type="dxa" w:w="20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依赖</w:t>
            </w:r>
          </w:p>
        </w:tc>
        <w:tc>
          <w:tcPr>
            <w:tcW w:type="dxa" w:w="576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检查内容</w:t>
            </w:r>
          </w:p>
        </w:tc>
      </w:tr>
      <w:tr>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20"/>
                <w:szCs w:val="20"/>
              </w:rPr>
              <w:t xml:space="preserve">lint</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center"/>
            </w:pPr>
            <w:r>
              <w:rPr>
                <w:rFonts w:ascii="Arial" w:cs="Arial" w:eastAsia="Arial" w:hAnsi="Arial"/>
                <w:b w:val="false"/>
                <w:bCs w:val="false"/>
                <w:color w:val="1F2937"/>
                <w:sz w:val="20"/>
                <w:szCs w:val="20"/>
              </w:rPr>
              <w:t xml:space="preserve">—</w:t>
            </w:r>
          </w:p>
        </w:tc>
        <w:tc>
          <w:tcPr>
            <w:tcW w:type="dxa" w:w="57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ruff check (PEP8) + black --check + isort --check-only + frontend ESLint</w:t>
            </w:r>
          </w:p>
        </w:tc>
      </w:tr>
      <w:tr>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20"/>
                <w:szCs w:val="20"/>
              </w:rPr>
              <w:t xml:space="preserve">test</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center"/>
            </w:pPr>
            <w:r>
              <w:rPr>
                <w:rFonts w:ascii="Arial" w:cs="Arial" w:eastAsia="Arial" w:hAnsi="Arial"/>
                <w:b w:val="false"/>
                <w:bCs w:val="false"/>
                <w:color w:val="1F2937"/>
                <w:sz w:val="20"/>
                <w:szCs w:val="20"/>
              </w:rPr>
              <w:t xml:space="preserve">needs: lint</w:t>
            </w:r>
          </w:p>
        </w:tc>
        <w:tc>
          <w:tcPr>
            <w:tcW w:type="dxa" w:w="57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PostgreSQL 16 + Redis 7 服务容器 / Alembic 迁移 / pytest-asyncio / Codecov 覆盖率上报</w:t>
            </w:r>
          </w:p>
        </w:tc>
      </w:tr>
      <w:tr>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20"/>
                <w:szCs w:val="20"/>
              </w:rPr>
              <w:t xml:space="preserve">build</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center"/>
            </w:pPr>
            <w:r>
              <w:rPr>
                <w:rFonts w:ascii="Arial" w:cs="Arial" w:eastAsia="Arial" w:hAnsi="Arial"/>
                <w:b w:val="false"/>
                <w:bCs w:val="false"/>
                <w:color w:val="1F2937"/>
                <w:sz w:val="20"/>
                <w:szCs w:val="20"/>
              </w:rPr>
              <w:t xml:space="preserve">needs: test</w:t>
            </w:r>
          </w:p>
        </w:tc>
        <w:tc>
          <w:tcPr>
            <w:tcW w:type="dxa" w:w="57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Docker Buildx 多阶段构建 / 前后端镜像 / GHCR 推送 (SHA+branch+latest 标签) / GHA 缓存</w:t>
            </w:r>
          </w:p>
        </w:tc>
      </w:tr>
    </w:tbl>
    <w:p>
      <w:pPr>
        <w:pStyle w:val="Heading2"/>
        <w:spacing w:after="160" w:before="240"/>
      </w:pPr>
      <w:r>
        <w:rPr>
          <w:rFonts w:ascii="Arial" w:cs="Arial" w:eastAsia="Arial" w:hAnsi="Arial"/>
          <w:b/>
          <w:bCs/>
          <w:color w:val="1F2937"/>
          <w:sz w:val="28"/>
          <w:szCs w:val="28"/>
        </w:rPr>
        <w:t xml:space="preserve">3.2  容器化构建与部署</w:t>
      </w:r>
    </w:p>
    <w:p>
      <w:pPr>
        <w:spacing w:after="160" w:line="360"/>
      </w:pPr>
      <w:r>
        <w:rPr>
          <w:rFonts w:ascii="Arial" w:cs="Arial" w:eastAsia="Arial" w:hAnsi="Arial"/>
          <w:color w:val="1F2937"/>
          <w:sz w:val="22"/>
          <w:szCs w:val="22"/>
        </w:rPr>
        <w:t xml:space="preserve">Backend 镜像基于 python:3.10-slim，采用非 root 用户（finagent）运行，配置 2 个 Uvicorn worker 进程，内置 HEALTHCHECK 健康检查。Frontend 采用多阶段构建：Node 20 Alpine 编译 → Nginx Alpine 运行，产物镜像仅包含静态文件和 Nginx 配置。</w:t>
      </w:r>
    </w:p>
    <w:p>
      <w:pPr>
        <w:spacing w:after="160" w:line="360"/>
      </w:pPr>
      <w:r>
        <w:rPr>
          <w:rFonts w:ascii="Arial" w:cs="Arial" w:eastAsia="Arial" w:hAnsi="Arial"/>
          <w:color w:val="1F2937"/>
          <w:sz w:val="22"/>
          <w:szCs w:val="22"/>
        </w:rPr>
        <w:t xml:space="preserve">docker-compose.yml 编排 4 个服务：PostgreSQL 16（健康检查 pg_isready）、Redis 7（健康检查 redis-cli ping）、Backend（内存限制 2G、依赖数据库就绪）、Frontend（内存限制 256M、依赖 Backend 就绪）。持久化卷包括 pgdata 和 redis-data。</w:t>
      </w:r>
    </w:p>
    <w:p>
      <w:pPr>
        <w:pStyle w:val="Heading2"/>
        <w:spacing w:after="160" w:before="240"/>
      </w:pPr>
      <w:r>
        <w:rPr>
          <w:rFonts w:ascii="Arial" w:cs="Arial" w:eastAsia="Arial" w:hAnsi="Arial"/>
          <w:b/>
          <w:bCs/>
          <w:color w:val="1F2937"/>
          <w:sz w:val="28"/>
          <w:szCs w:val="28"/>
        </w:rPr>
        <w:t xml:space="preserve">3.3  自动化质量门禁</w:t>
      </w:r>
    </w:p>
    <w:p>
      <w:pPr>
        <w:spacing w:after="160" w:line="360"/>
      </w:pPr>
      <w:r>
        <w:rPr>
          <w:rFonts w:ascii="Arial" w:cs="Arial" w:eastAsia="Arial" w:hAnsi="Arial"/>
          <w:color w:val="1F2937"/>
          <w:sz w:val="22"/>
          <w:szCs w:val="22"/>
        </w:rPr>
        <w:t xml:space="preserve">每次代码提交均自动触发完整的质量检查链路：ruff 检查 PEP8 合规性（忽略 E501/F403/F405）→ black 检查代码格式 → isort 检查 import 排序 → ESLint 检查前端 → pytest 执行全部测试（含 60s 超时控制）→ Codecov 上报覆盖率 → Docker 构建并推送镜像。任一环节失败均阻断后续流程，确保主分支代码始终处于可部署状态。</w:t>
      </w:r>
    </w:p>
    <w:p>
      <w:r>
        <w:br w:type="page"/>
      </w:r>
    </w:p>
    <w:p>
      <w:pPr>
        <w:pStyle w:val="Heading1"/>
        <w:spacing w:after="240" w:before="360"/>
      </w:pPr>
      <w:r>
        <w:rPr>
          <w:rFonts w:ascii="Arial" w:cs="Arial" w:eastAsia="Arial" w:hAnsi="Arial"/>
          <w:b/>
          <w:bCs/>
          <w:color w:val="1A56DB"/>
          <w:sz w:val="36"/>
          <w:szCs w:val="36"/>
        </w:rPr>
        <w:t xml:space="preserve">4  Layer 2 — 安全加固</w:t>
      </w:r>
    </w:p>
    <w:p>
      <w:pPr>
        <w:pStyle w:val="Heading2"/>
        <w:spacing w:after="160" w:before="240"/>
      </w:pPr>
      <w:r>
        <w:rPr>
          <w:rFonts w:ascii="Arial" w:cs="Arial" w:eastAsia="Arial" w:hAnsi="Arial"/>
          <w:b/>
          <w:bCs/>
          <w:color w:val="1F2937"/>
          <w:sz w:val="28"/>
          <w:szCs w:val="28"/>
        </w:rPr>
        <w:t xml:space="preserve">4.1  CORS 策略净化</w:t>
      </w:r>
    </w:p>
    <w:p>
      <w:pPr>
        <w:spacing w:after="160" w:line="360"/>
      </w:pPr>
      <w:r>
        <w:rPr>
          <w:rFonts w:ascii="Arial" w:cs="Arial" w:eastAsia="Arial" w:hAnsi="Arial"/>
          <w:color w:val="1F2937"/>
          <w:sz w:val="22"/>
          <w:szCs w:val="22"/>
        </w:rPr>
        <w:t xml:space="preserve">清理了 CORS 配置中的占位域名（https://finagent.example.com），仅保留开发环境所需的 localhost 源。生产环境通过 ALLOWED_ORIGINS 环境变量动态注入，避免硬编码带来的跨域安全风险。</w:t>
      </w:r>
    </w:p>
    <w:p>
      <w:pPr>
        <w:pStyle w:val="Heading2"/>
        <w:spacing w:after="160" w:before="240"/>
      </w:pPr>
      <w:r>
        <w:rPr>
          <w:rFonts w:ascii="Arial" w:cs="Arial" w:eastAsia="Arial" w:hAnsi="Arial"/>
          <w:b/>
          <w:bCs/>
          <w:color w:val="1F2937"/>
          <w:sz w:val="28"/>
          <w:szCs w:val="28"/>
        </w:rPr>
        <w:t xml:space="preserve">4.2  异常信息脱敏</w:t>
      </w:r>
    </w:p>
    <w:p>
      <w:pPr>
        <w:spacing w:after="160" w:line="360"/>
      </w:pPr>
      <w:r>
        <w:rPr>
          <w:rFonts w:ascii="Arial" w:cs="Arial" w:eastAsia="Arial" w:hAnsi="Arial"/>
          <w:color w:val="1F2937"/>
          <w:sz w:val="22"/>
          <w:szCs w:val="22"/>
        </w:rPr>
        <w:t xml:space="preserve">建立了完整的异常层级体系：FinAgentException（基类）→ AgentExecutionError（500）、DataFetchError（502）、LLMError（503）。关键安全措施：生产环境下（ENV=production）全局异常处理器仅返回通用错误描述，不暴露内部异常信息，防止敏感数据泄露。开发环境则保留详细错误消息以便调试。</w:t>
      </w:r>
    </w:p>
    <w:p>
      <w:pPr>
        <w:pStyle w:val="Heading2"/>
        <w:spacing w:after="160" w:before="240"/>
      </w:pPr>
      <w:r>
        <w:rPr>
          <w:rFonts w:ascii="Arial" w:cs="Arial" w:eastAsia="Arial" w:hAnsi="Arial"/>
          <w:b/>
          <w:bCs/>
          <w:color w:val="1F2937"/>
          <w:sz w:val="28"/>
          <w:szCs w:val="28"/>
        </w:rPr>
        <w:t xml:space="preserve">4.3  Redis 分布式滑动窗口限流</w:t>
      </w:r>
    </w:p>
    <w:p>
      <w:pPr>
        <w:spacing w:after="160" w:line="360"/>
      </w:pPr>
      <w:r>
        <w:rPr>
          <w:rFonts w:ascii="Arial" w:cs="Arial" w:eastAsia="Arial" w:hAnsi="Arial"/>
          <w:color w:val="1F2937"/>
          <w:sz w:val="22"/>
          <w:szCs w:val="22"/>
        </w:rPr>
        <w:t xml:space="preserve">设计并实现了双层限流架构。RedisRateLimiter 基于 Redis 有序集合（Sorted Set）实现滑动窗口算法，使用 zremrangebyscore / zcard / zadd / expire 原子操作，支持多 worker 进程共享限流状态。当 Redis 不可用时自动降级至 InMemoryRateLimiter，并记录警告日志，确保服务不中断。</w:t>
      </w:r>
    </w:p>
    <w:p>
      <w:pPr>
        <w:pStyle w:val="Heading3"/>
        <w:spacing w:after="120" w:before="200"/>
      </w:pPr>
      <w:r>
        <w:rPr>
          <w:rFonts w:ascii="Arial" w:cs="Arial" w:eastAsia="Arial" w:hAnsi="Arial"/>
          <w:b/>
          <w:bCs/>
          <w:color w:val="6B7280"/>
          <w:sz w:val="24"/>
          <w:szCs w:val="24"/>
        </w:rPr>
        <w:t xml:space="preserve">限流策略配置</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2080"/>
        <w:gridCol w:w="2000"/>
      </w:tblGrid>
      <w:tr>
        <w:tc>
          <w:tcPr>
            <w:tcW w:type="dxa" w:w="32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端点前缀</w:t>
            </w:r>
          </w:p>
        </w:tc>
        <w:tc>
          <w:tcPr>
            <w:tcW w:type="dxa" w:w="208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限流</w:t>
            </w:r>
          </w:p>
        </w:tc>
        <w:tc>
          <w:tcPr>
            <w:tcW w:type="dxa" w:w="208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窗口</w:t>
            </w:r>
          </w:p>
        </w:tc>
        <w:tc>
          <w:tcPr>
            <w:tcW w:type="dxa" w:w="20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说明</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/api/auth</w:t>
            </w:r>
          </w:p>
        </w:tc>
        <w:tc>
          <w:tcPr>
            <w:tcW w:type="dxa" w:w="2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center"/>
            </w:pPr>
            <w:r>
              <w:rPr>
                <w:rFonts w:ascii="Arial" w:cs="Arial" w:eastAsia="Arial" w:hAnsi="Arial"/>
                <w:b w:val="false"/>
                <w:bCs w:val="false"/>
                <w:color w:val="1F2937"/>
                <w:sz w:val="20"/>
                <w:szCs w:val="20"/>
              </w:rPr>
              <w:t xml:space="preserve">10 次</w:t>
            </w:r>
          </w:p>
        </w:tc>
        <w:tc>
          <w:tcPr>
            <w:tcW w:type="dxa" w:w="2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center"/>
            </w:pPr>
            <w:r>
              <w:rPr>
                <w:rFonts w:ascii="Arial" w:cs="Arial" w:eastAsia="Arial" w:hAnsi="Arial"/>
                <w:b w:val="false"/>
                <w:bCs w:val="false"/>
                <w:color w:val="1F2937"/>
                <w:sz w:val="20"/>
                <w:szCs w:val="20"/>
              </w:rPr>
              <w:t xml:space="preserve">60 秒</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认证接口</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/api/orchestrate</w:t>
            </w:r>
          </w:p>
        </w:tc>
        <w:tc>
          <w:tcPr>
            <w:tcW w:type="dxa" w:w="2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center"/>
            </w:pPr>
            <w:r>
              <w:rPr>
                <w:rFonts w:ascii="Arial" w:cs="Arial" w:eastAsia="Arial" w:hAnsi="Arial"/>
                <w:b w:val="false"/>
                <w:bCs w:val="false"/>
                <w:color w:val="1F2937"/>
                <w:sz w:val="20"/>
                <w:szCs w:val="20"/>
              </w:rPr>
              <w:t xml:space="preserve">5 次</w:t>
            </w:r>
          </w:p>
        </w:tc>
        <w:tc>
          <w:tcPr>
            <w:tcW w:type="dxa" w:w="2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center"/>
            </w:pPr>
            <w:r>
              <w:rPr>
                <w:rFonts w:ascii="Arial" w:cs="Arial" w:eastAsia="Arial" w:hAnsi="Arial"/>
                <w:b w:val="false"/>
                <w:bCs w:val="false"/>
                <w:color w:val="1F2937"/>
                <w:sz w:val="20"/>
                <w:szCs w:val="20"/>
              </w:rPr>
              <w:t xml:space="preserve">60 秒</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核心分析接口</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/api/chat</w:t>
            </w:r>
          </w:p>
        </w:tc>
        <w:tc>
          <w:tcPr>
            <w:tcW w:type="dxa" w:w="2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center"/>
            </w:pPr>
            <w:r>
              <w:rPr>
                <w:rFonts w:ascii="Arial" w:cs="Arial" w:eastAsia="Arial" w:hAnsi="Arial"/>
                <w:b w:val="false"/>
                <w:bCs w:val="false"/>
                <w:color w:val="1F2937"/>
                <w:sz w:val="20"/>
                <w:szCs w:val="20"/>
              </w:rPr>
              <w:t xml:space="preserve">10 次</w:t>
            </w:r>
          </w:p>
        </w:tc>
        <w:tc>
          <w:tcPr>
            <w:tcW w:type="dxa" w:w="2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center"/>
            </w:pPr>
            <w:r>
              <w:rPr>
                <w:rFonts w:ascii="Arial" w:cs="Arial" w:eastAsia="Arial" w:hAnsi="Arial"/>
                <w:b w:val="false"/>
                <w:bCs w:val="false"/>
                <w:color w:val="1F2937"/>
                <w:sz w:val="20"/>
                <w:szCs w:val="20"/>
              </w:rPr>
              <w:t xml:space="preserve">60 秒</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聊天接口</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/ws/</w:t>
            </w:r>
          </w:p>
        </w:tc>
        <w:tc>
          <w:tcPr>
            <w:tcW w:type="dxa" w:w="2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center"/>
            </w:pPr>
            <w:r>
              <w:rPr>
                <w:rFonts w:ascii="Arial" w:cs="Arial" w:eastAsia="Arial" w:hAnsi="Arial"/>
                <w:b w:val="false"/>
                <w:bCs w:val="false"/>
                <w:color w:val="1F2937"/>
                <w:sz w:val="20"/>
                <w:szCs w:val="20"/>
              </w:rPr>
              <w:t xml:space="preserve">20 次</w:t>
            </w:r>
          </w:p>
        </w:tc>
        <w:tc>
          <w:tcPr>
            <w:tcW w:type="dxa" w:w="2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center"/>
            </w:pPr>
            <w:r>
              <w:rPr>
                <w:rFonts w:ascii="Arial" w:cs="Arial" w:eastAsia="Arial" w:hAnsi="Arial"/>
                <w:b w:val="false"/>
                <w:bCs w:val="false"/>
                <w:color w:val="1F2937"/>
                <w:sz w:val="20"/>
                <w:szCs w:val="20"/>
              </w:rPr>
              <w:t xml:space="preserve">60 秒</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WebSocket 连接</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default</w:t>
            </w:r>
          </w:p>
        </w:tc>
        <w:tc>
          <w:tcPr>
            <w:tcW w:type="dxa" w:w="2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center"/>
            </w:pPr>
            <w:r>
              <w:rPr>
                <w:rFonts w:ascii="Arial" w:cs="Arial" w:eastAsia="Arial" w:hAnsi="Arial"/>
                <w:b w:val="false"/>
                <w:bCs w:val="false"/>
                <w:color w:val="1F2937"/>
                <w:sz w:val="20"/>
                <w:szCs w:val="20"/>
              </w:rPr>
              <w:t xml:space="preserve">30 次</w:t>
            </w:r>
          </w:p>
        </w:tc>
        <w:tc>
          <w:tcPr>
            <w:tcW w:type="dxa" w:w="2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center"/>
            </w:pPr>
            <w:r>
              <w:rPr>
                <w:rFonts w:ascii="Arial" w:cs="Arial" w:eastAsia="Arial" w:hAnsi="Arial"/>
                <w:b w:val="false"/>
                <w:bCs w:val="false"/>
                <w:color w:val="1F2937"/>
                <w:sz w:val="20"/>
                <w:szCs w:val="20"/>
              </w:rPr>
              <w:t xml:space="preserve">60 秒</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其他接口</w:t>
            </w:r>
          </w:p>
        </w:tc>
      </w:tr>
    </w:tbl>
    <w:p>
      <w:pPr>
        <w:pStyle w:val="Heading2"/>
        <w:spacing w:after="160" w:before="240"/>
      </w:pPr>
      <w:r>
        <w:rPr>
          <w:rFonts w:ascii="Arial" w:cs="Arial" w:eastAsia="Arial" w:hAnsi="Arial"/>
          <w:b/>
          <w:bCs/>
          <w:color w:val="1F2937"/>
          <w:sz w:val="28"/>
          <w:szCs w:val="28"/>
        </w:rPr>
        <w:t xml:space="preserve">4.4  WebSocket 安全加固</w:t>
      </w:r>
    </w:p>
    <w:p>
      <w:pPr>
        <w:spacing w:after="160" w:line="360"/>
      </w:pPr>
      <w:r>
        <w:rPr>
          <w:rFonts w:ascii="Arial" w:cs="Arial" w:eastAsia="Arial" w:hAnsi="Arial"/>
          <w:color w:val="1F2937"/>
          <w:sz w:val="22"/>
          <w:szCs w:val="22"/>
        </w:rPr>
        <w:t xml:space="preserve">实现了纯 ASGI 中间件（RateLimitMiddleware），同时处理 HTTP 和 WebSocket 请求。HTTP 请求超限时返回 429 状态码并附带 retry-after 和 x-request-id 响应头。WebSocket 连接超限时发送关闭帧（状态码 1013）。采用纯 ASGI 实现而非 BaseHTTPMiddleware，避免了 asyncio 事件循环冲突。每个请求均注入唯一的 x-request-id 用于分布式追踪。</w:t>
      </w:r>
    </w:p>
    <w:p>
      <w:r>
        <w:br w:type="page"/>
      </w:r>
    </w:p>
    <w:p>
      <w:pPr>
        <w:pStyle w:val="Heading1"/>
        <w:spacing w:after="240" w:before="360"/>
      </w:pPr>
      <w:r>
        <w:rPr>
          <w:rFonts w:ascii="Arial" w:cs="Arial" w:eastAsia="Arial" w:hAnsi="Arial"/>
          <w:b/>
          <w:bCs/>
          <w:color w:val="1A56DB"/>
          <w:sz w:val="36"/>
          <w:szCs w:val="36"/>
        </w:rPr>
        <w:t xml:space="preserve">5  Layer 3 — 测试覆盖</w:t>
      </w:r>
    </w:p>
    <w:p>
      <w:pPr>
        <w:spacing w:after="160" w:line="360"/>
      </w:pPr>
      <w:r>
        <w:rPr>
          <w:rFonts w:ascii="Arial" w:cs="Arial" w:eastAsia="Arial" w:hAnsi="Arial"/>
          <w:color w:val="1F2937"/>
          <w:sz w:val="22"/>
          <w:szCs w:val="22"/>
        </w:rPr>
        <w:t xml:space="preserve">新增 5 个测试文件并扩展 1 个现有测试文件，总计 9 个测试模块、约 46KB 测试代码。测试基础设施基于 pytest-asyncio（asyncio_mode=auto），配合 function-scoped 的异步数据库引擎和会话固定件，确保测试间完全隔离。</w:t>
      </w:r>
    </w:p>
    <w:p>
      <w:pPr>
        <w:pStyle w:val="Heading2"/>
        <w:spacing w:after="160" w:before="240"/>
      </w:pPr>
      <w:r>
        <w:rPr>
          <w:rFonts w:ascii="Arial" w:cs="Arial" w:eastAsia="Arial" w:hAnsi="Arial"/>
          <w:b/>
          <w:bCs/>
          <w:color w:val="1F2937"/>
          <w:sz w:val="28"/>
          <w:szCs w:val="28"/>
        </w:rPr>
        <w:t xml:space="preserve">5.1  WebSocket Manager 测试</w:t>
      </w:r>
    </w:p>
    <w:p>
      <w:pPr>
        <w:spacing w:after="160" w:line="360"/>
      </w:pPr>
      <w:r>
        <w:rPr>
          <w:rFonts w:ascii="Arial" w:cs="Arial" w:eastAsia="Arial" w:hAnsi="Arial"/>
          <w:color w:val="1F2937"/>
          <w:sz w:val="22"/>
          <w:szCs w:val="22"/>
        </w:rPr>
        <w:t xml:space="preserve">test_websocket_manager.py 覆盖 WebSocket 连接管理器的核心功能：连接与断开、广播消息（broadcast / broadcast_final / broadcast_status）、心跳检测、连接数上限控制。使用 AsyncMock WebSocket 对象模拟真实连接场景。</w:t>
      </w:r>
    </w:p>
    <w:p>
      <w:pPr>
        <w:pStyle w:val="Heading2"/>
        <w:spacing w:after="160" w:before="240"/>
      </w:pPr>
      <w:r>
        <w:rPr>
          <w:rFonts w:ascii="Arial" w:cs="Arial" w:eastAsia="Arial" w:hAnsi="Arial"/>
          <w:b/>
          <w:bCs/>
          <w:color w:val="1F2937"/>
          <w:sz w:val="28"/>
          <w:szCs w:val="28"/>
        </w:rPr>
        <w:t xml:space="preserve">5.2  Session Memory 测试</w:t>
      </w:r>
    </w:p>
    <w:p>
      <w:pPr>
        <w:spacing w:after="160" w:line="360"/>
      </w:pPr>
      <w:r>
        <w:rPr>
          <w:rFonts w:ascii="Arial" w:cs="Arial" w:eastAsia="Arial" w:hAnsi="Arial"/>
          <w:color w:val="1F2937"/>
          <w:sz w:val="22"/>
          <w:szCs w:val="22"/>
        </w:rPr>
        <w:t xml:space="preserve">test_session_memory.py 覆盖会话记忆系统的完整生命周期：会话保存与加载、历史记录追加与获取（含长度限制）、用户偏好存储。特别包含路径遍历攻击防护测试：拒绝 ../../etc/passwd、子目录穿透、特殊字符、空字符串和超长（129+）会话 ID。</w:t>
      </w:r>
    </w:p>
    <w:p>
      <w:pPr>
        <w:pStyle w:val="Heading2"/>
        <w:spacing w:after="160" w:before="240"/>
      </w:pPr>
      <w:r>
        <w:rPr>
          <w:rFonts w:ascii="Arial" w:cs="Arial" w:eastAsia="Arial" w:hAnsi="Arial"/>
          <w:b/>
          <w:bCs/>
          <w:color w:val="1F2937"/>
          <w:sz w:val="28"/>
          <w:szCs w:val="28"/>
        </w:rPr>
        <w:t xml:space="preserve">5.3  CRUD 操作测试</w:t>
      </w:r>
    </w:p>
    <w:p>
      <w:pPr>
        <w:spacing w:after="160" w:line="360"/>
      </w:pPr>
      <w:r>
        <w:rPr>
          <w:rFonts w:ascii="Arial" w:cs="Arial" w:eastAsia="Arial" w:hAnsi="Arial"/>
          <w:color w:val="1F2937"/>
          <w:sz w:val="22"/>
          <w:szCs w:val="22"/>
        </w:rPr>
        <w:t xml:space="preserve">test_crud.py 覆盖数据库 CRUD 操作的全部核心实体：User（创建/查询/更新登录）、Session（创建/查询/撤销）、AnalysisRecord（创建/更新/分页查询）、ApiUsage（统计）、AuditLog。重点解决了 SQLAlchemy ORM 缓存与 Core 级更新的一致性问题，采用 db_session.refresh() 模式确保测试可靠性。</w:t>
      </w:r>
    </w:p>
    <w:p>
      <w:pPr>
        <w:pStyle w:val="Heading2"/>
        <w:spacing w:after="160" w:before="240"/>
      </w:pPr>
      <w:r>
        <w:rPr>
          <w:rFonts w:ascii="Arial" w:cs="Arial" w:eastAsia="Arial" w:hAnsi="Arial"/>
          <w:b/>
          <w:bCs/>
          <w:color w:val="1F2937"/>
          <w:sz w:val="28"/>
          <w:szCs w:val="28"/>
        </w:rPr>
        <w:t xml:space="preserve">5.4  Auth 依赖测试</w:t>
      </w:r>
    </w:p>
    <w:p>
      <w:pPr>
        <w:spacing w:after="160" w:line="360"/>
      </w:pPr>
      <w:r>
        <w:rPr>
          <w:rFonts w:ascii="Arial" w:cs="Arial" w:eastAsia="Arial" w:hAnsi="Arial"/>
          <w:color w:val="1F2937"/>
          <w:sz w:val="22"/>
          <w:szCs w:val="22"/>
        </w:rPr>
        <w:t xml:space="preserve">test_auth_dependencies.py 覆盖 FastAPI 依赖注入层的认证逻辑：get_current_user（无凭证/无效Token/Refresh Token拒绝/已撤销会话/有效认证）、get_optional_user（无凭证→None/无效→None/有效→用户）、require_admin（管理员通过/非管理员 403）。通过 unittest.mock.patch 和 AsyncMock 实现依赖隔离。</w:t>
      </w:r>
    </w:p>
    <w:p>
      <w:pPr>
        <w:pStyle w:val="Heading2"/>
        <w:spacing w:after="160" w:before="240"/>
      </w:pPr>
      <w:r>
        <w:rPr>
          <w:rFonts w:ascii="Arial" w:cs="Arial" w:eastAsia="Arial" w:hAnsi="Arial"/>
          <w:b/>
          <w:bCs/>
          <w:color w:val="1F2937"/>
          <w:sz w:val="28"/>
          <w:szCs w:val="28"/>
        </w:rPr>
        <w:t xml:space="preserve">5.5  Market Data Service 扩展测试</w:t>
      </w:r>
    </w:p>
    <w:p>
      <w:pPr>
        <w:spacing w:after="160" w:line="360"/>
      </w:pPr>
      <w:r>
        <w:rPr>
          <w:rFonts w:ascii="Arial" w:cs="Arial" w:eastAsia="Arial" w:hAnsi="Arial"/>
          <w:color w:val="1F2937"/>
          <w:sz w:val="22"/>
          <w:szCs w:val="22"/>
        </w:rPr>
        <w:t xml:space="preserve">扩展 test_market_data.py 新增 5 个测试类：TestRedisCache（模拟 Redis 缓存读写、Redis 不可用时降级、错误静默处理）、TestMarketDataServiceFileCache（文件缓存机制）、TestTechnicalIndicators（技术指标计算）、TestStockNameMapping（股票名称映射）、TestGetStockHistory（历史数据获取）。</w:t>
      </w:r>
    </w:p>
    <w:p>
      <w:r>
        <w:br w:type="page"/>
      </w:r>
    </w:p>
    <w:p>
      <w:pPr>
        <w:pStyle w:val="Heading1"/>
        <w:spacing w:after="240" w:before="360"/>
      </w:pPr>
      <w:r>
        <w:rPr>
          <w:rFonts w:ascii="Arial" w:cs="Arial" w:eastAsia="Arial" w:hAnsi="Arial"/>
          <w:b/>
          <w:bCs/>
          <w:color w:val="1A56DB"/>
          <w:sz w:val="36"/>
          <w:szCs w:val="36"/>
        </w:rPr>
        <w:t xml:space="preserve">6  Layer 4 — 前端类型安全</w:t>
      </w:r>
    </w:p>
    <w:p>
      <w:pPr>
        <w:pStyle w:val="Heading2"/>
        <w:spacing w:after="160" w:before="240"/>
      </w:pPr>
      <w:r>
        <w:rPr>
          <w:rFonts w:ascii="Arial" w:cs="Arial" w:eastAsia="Arial" w:hAnsi="Arial"/>
          <w:b/>
          <w:bCs/>
          <w:color w:val="1F2937"/>
          <w:sz w:val="28"/>
          <w:szCs w:val="28"/>
        </w:rPr>
        <w:t xml:space="preserve">6.1  消除全部 any 类型</w:t>
      </w:r>
    </w:p>
    <w:p>
      <w:pPr>
        <w:spacing w:after="160" w:line="360"/>
      </w:pPr>
      <w:r>
        <w:rPr>
          <w:rFonts w:ascii="Arial" w:cs="Arial" w:eastAsia="Arial" w:hAnsi="Arial"/>
          <w:color w:val="1F2937"/>
          <w:sz w:val="22"/>
          <w:szCs w:val="22"/>
        </w:rPr>
        <w:t xml:space="preserve">对前端 7 个文件中的 21 处 any 类型进行了全面清除，替换为严格的 TypeScript 类型定义。关键改造包括：App.tsx 中的所有 useState 状态替换为带类型参数的泛型调用；useWebSocket.ts 的 payload 从 any 改为 Record&lt;string, unknown&gt;；StockListPage.tsx 的列表渲染器从 (s: any) 改为 Record&lt;string, unknown&gt; 并配合 String() 包装器安全提取字段。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文件</w:t>
            </w:r>
          </w:p>
        </w:tc>
        <w:tc>
          <w:tcPr>
            <w:tcW w:type="dxa" w:w="24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消除 any 数</w:t>
            </w:r>
          </w:p>
        </w:tc>
        <w:tc>
          <w:tcPr>
            <w:tcW w:type="dxa" w:w="416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关键改造</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20"/>
                <w:szCs w:val="20"/>
              </w:rPr>
              <w:t xml:space="preserve">App.tsx</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center"/>
            </w:pPr>
            <w:r>
              <w:rPr>
                <w:rFonts w:ascii="Arial" w:cs="Arial" w:eastAsia="Arial" w:hAnsi="Arial"/>
                <w:b w:val="false"/>
                <w:bCs w:val="false"/>
                <w:color w:val="1F2937"/>
                <w:sz w:val="20"/>
                <w:szCs w:val="20"/>
              </w:rPr>
              <w:t xml:space="preserve">8</w:t>
            </w:r>
          </w:p>
        </w:tc>
        <w:tc>
          <w:tcPr>
            <w:tcW w:type="dxa" w:w="41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WorkbenchStep[] / ToolCallEntry[] / HkSpotStock 状态类型</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20"/>
                <w:szCs w:val="20"/>
              </w:rPr>
              <w:t xml:space="preserve">DashboardPage.tsx</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center"/>
            </w:pPr>
            <w:r>
              <w:rPr>
                <w:rFonts w:ascii="Arial" w:cs="Arial" w:eastAsia="Arial" w:hAnsi="Arial"/>
                <w:b w:val="false"/>
                <w:bCs w:val="false"/>
                <w:color w:val="1F2937"/>
                <w:sz w:val="20"/>
                <w:szCs w:val="20"/>
              </w:rPr>
              <w:t xml:space="preserve">4</w:t>
            </w:r>
          </w:p>
        </w:tc>
        <w:tc>
          <w:tcPr>
            <w:tcW w:type="dxa" w:w="41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StockData / AnalysisResult props 类型</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20"/>
                <w:szCs w:val="20"/>
              </w:rPr>
              <w:t xml:space="preserve">AgentChatPage.tsx</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center"/>
            </w:pPr>
            <w:r>
              <w:rPr>
                <w:rFonts w:ascii="Arial" w:cs="Arial" w:eastAsia="Arial" w:hAnsi="Arial"/>
                <w:b w:val="false"/>
                <w:bCs w:val="false"/>
                <w:color w:val="1F2937"/>
                <w:sz w:val="20"/>
                <w:szCs w:val="20"/>
              </w:rPr>
              <w:t xml:space="preserve">2</w:t>
            </w:r>
          </w:p>
        </w:tc>
        <w:tc>
          <w:tcPr>
            <w:tcW w:type="dxa" w:w="41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AgentFeedMessage[] / ThinkingStep[]</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20"/>
                <w:szCs w:val="20"/>
              </w:rPr>
              <w:t xml:space="preserve">StockListPage.tsx</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center"/>
            </w:pPr>
            <w:r>
              <w:rPr>
                <w:rFonts w:ascii="Arial" w:cs="Arial" w:eastAsia="Arial" w:hAnsi="Arial"/>
                <w:b w:val="false"/>
                <w:bCs w:val="false"/>
                <w:color w:val="1F2937"/>
                <w:sz w:val="20"/>
                <w:szCs w:val="20"/>
              </w:rPr>
              <w:t xml:space="preserve">3</w:t>
            </w:r>
          </w:p>
        </w:tc>
        <w:tc>
          <w:tcPr>
            <w:tcW w:type="dxa" w:w="41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Record&lt;string, unknown&gt; + String() 安全提取</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20"/>
                <w:szCs w:val="20"/>
              </w:rPr>
              <w:t xml:space="preserve">useWebSocket.ts</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center"/>
            </w:pPr>
            <w:r>
              <w:rPr>
                <w:rFonts w:ascii="Arial" w:cs="Arial" w:eastAsia="Arial" w:hAnsi="Arial"/>
                <w:b w:val="false"/>
                <w:bCs w:val="false"/>
                <w:color w:val="1F2937"/>
                <w:sz w:val="20"/>
                <w:szCs w:val="20"/>
              </w:rPr>
              <w:t xml:space="preserve">1</w:t>
            </w:r>
          </w:p>
        </w:tc>
        <w:tc>
          <w:tcPr>
            <w:tcW w:type="dxa" w:w="41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payload: Record&lt;string, unknown&gt;</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20"/>
                <w:szCs w:val="20"/>
              </w:rPr>
              <w:t xml:space="preserve">PortfolioPieChart.tsx</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center"/>
            </w:pPr>
            <w:r>
              <w:rPr>
                <w:rFonts w:ascii="Arial" w:cs="Arial" w:eastAsia="Arial" w:hAnsi="Arial"/>
                <w:b w:val="false"/>
                <w:bCs w:val="false"/>
                <w:color w:val="1F2937"/>
                <w:sz w:val="20"/>
                <w:szCs w:val="20"/>
              </w:rPr>
              <w:t xml:space="preserve">2</w:t>
            </w:r>
          </w:p>
        </w:tc>
        <w:tc>
          <w:tcPr>
            <w:tcW w:type="dxa" w:w="41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ECharts formatter 参数类型化</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20"/>
                <w:szCs w:val="20"/>
              </w:rPr>
              <w:t xml:space="preserve">AgentThinkingPanel.tsx</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center"/>
            </w:pPr>
            <w:r>
              <w:rPr>
                <w:rFonts w:ascii="Arial" w:cs="Arial" w:eastAsia="Arial" w:hAnsi="Arial"/>
                <w:b w:val="false"/>
                <w:bCs w:val="false"/>
                <w:color w:val="1F2937"/>
                <w:sz w:val="20"/>
                <w:szCs w:val="20"/>
              </w:rPr>
              <w:t xml:space="preserve">1</w:t>
            </w:r>
          </w:p>
        </w:tc>
        <w:tc>
          <w:tcPr>
            <w:tcW w:type="dxa" w:w="41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data?: Record&lt;string, unknown&gt;</w:t>
            </w:r>
          </w:p>
        </w:tc>
      </w:tr>
    </w:tbl>
    <w:p>
      <w:pPr>
        <w:pStyle w:val="Heading2"/>
        <w:spacing w:after="160" w:before="240"/>
      </w:pPr>
      <w:r>
        <w:rPr>
          <w:rFonts w:ascii="Arial" w:cs="Arial" w:eastAsia="Arial" w:hAnsi="Arial"/>
          <w:b/>
          <w:bCs/>
          <w:color w:val="1F2937"/>
          <w:sz w:val="28"/>
          <w:szCs w:val="28"/>
        </w:rPr>
        <w:t xml:space="preserve">6.2  共享类型体系</w:t>
      </w:r>
    </w:p>
    <w:p>
      <w:pPr>
        <w:spacing w:after="160" w:line="360"/>
      </w:pPr>
      <w:r>
        <w:rPr>
          <w:rFonts w:ascii="Arial" w:cs="Arial" w:eastAsia="Arial" w:hAnsi="Arial"/>
          <w:color w:val="1F2937"/>
          <w:sz w:val="22"/>
          <w:szCs w:val="22"/>
        </w:rPr>
        <w:t xml:space="preserve">创建了 frontend/src/types.ts 共享类型定义文件，包含 StockData、AgentMessage、AnalysisResult、WorkbenchStep、ToolCallEntry、HkSpotStock 六大核心接口。解决了多组件重复定义同名接口导致的 TS2719 类型冲突问题，实现了单一真相源（Single Source of Truth）的类型管理模式。</w:t>
      </w:r>
    </w:p>
    <w:p>
      <w:pPr>
        <w:pStyle w:val="Heading2"/>
        <w:spacing w:after="160" w:before="240"/>
      </w:pPr>
      <w:r>
        <w:rPr>
          <w:rFonts w:ascii="Arial" w:cs="Arial" w:eastAsia="Arial" w:hAnsi="Arial"/>
          <w:b/>
          <w:bCs/>
          <w:color w:val="1F2937"/>
          <w:sz w:val="28"/>
          <w:szCs w:val="28"/>
        </w:rPr>
        <w:t xml:space="preserve">6.3  WebSocket 负载安全提取</w:t>
      </w:r>
    </w:p>
    <w:p>
      <w:pPr>
        <w:spacing w:after="160" w:line="360"/>
      </w:pPr>
      <w:r>
        <w:rPr>
          <w:rFonts w:ascii="Arial" w:cs="Arial" w:eastAsia="Arial" w:hAnsi="Arial"/>
          <w:color w:val="1F2937"/>
          <w:sz w:val="22"/>
          <w:szCs w:val="22"/>
        </w:rPr>
        <w:t xml:space="preserve">针对 Record&lt;string, unknown&gt; 类型的负载数据，设计了严格的类型安全提取模式：使用 String() 包装器提取字符串字段，定义 StepStatus 联合类型并通过 as StepStatus 断言转换，对复杂对象使用 as unknown as AnalysisResult 双重断言。这套模式确保了在 TypeScript 严格模式下的完全类型安全。</w:t>
      </w:r>
    </w:p>
    <w:p>
      <w:pPr>
        <w:pStyle w:val="Heading2"/>
        <w:spacing w:after="160" w:before="240"/>
      </w:pPr>
      <w:r>
        <w:rPr>
          <w:rFonts w:ascii="Arial" w:cs="Arial" w:eastAsia="Arial" w:hAnsi="Arial"/>
          <w:b/>
          <w:bCs/>
          <w:color w:val="1F2937"/>
          <w:sz w:val="28"/>
          <w:szCs w:val="28"/>
        </w:rPr>
        <w:t xml:space="preserve">6.4  ARIA 无障碍属性</w:t>
      </w:r>
    </w:p>
    <w:p>
      <w:pPr>
        <w:spacing w:after="160" w:line="360"/>
      </w:pPr>
      <w:r>
        <w:rPr>
          <w:rFonts w:ascii="Arial" w:cs="Arial" w:eastAsia="Arial" w:hAnsi="Arial"/>
          <w:color w:val="1F2937"/>
          <w:sz w:val="22"/>
          <w:szCs w:val="22"/>
        </w:rPr>
        <w:t xml:space="preserve">为前端组件添加了全面的 ARIA 无障碍属性：加载覆盖层添加 role="alert" + aria-live="assertive" + aria-busy；侧边栏导航添加 aria-label=\u300C主导航\u300D；主题切换开关添加 aria-label；股票卡片添加 tabIndex={0} + role="button" + aria-label + onKeyDown 键盘交互；导出 HTML 添加 lang="zh-CN"。这些改进显著提升了应用的可访问性和专业度。</w:t>
      </w:r>
    </w:p>
    <w:p>
      <w:r>
        <w:br w:type="page"/>
      </w:r>
    </w:p>
    <w:p>
      <w:pPr>
        <w:pStyle w:val="Heading1"/>
        <w:spacing w:after="240" w:before="360"/>
      </w:pPr>
      <w:r>
        <w:rPr>
          <w:rFonts w:ascii="Arial" w:cs="Arial" w:eastAsia="Arial" w:hAnsi="Arial"/>
          <w:b/>
          <w:bCs/>
          <w:color w:val="1A56DB"/>
          <w:sz w:val="36"/>
          <w:szCs w:val="36"/>
        </w:rPr>
        <w:t xml:space="preserve">7  优化成果</w:t>
      </w:r>
    </w:p>
    <w:p>
      <w:pPr>
        <w:pStyle w:val="Heading2"/>
        <w:spacing w:after="160" w:before="240"/>
      </w:pPr>
      <w:r>
        <w:rPr>
          <w:rFonts w:ascii="Arial" w:cs="Arial" w:eastAsia="Arial" w:hAnsi="Arial"/>
          <w:b/>
          <w:bCs/>
          <w:color w:val="1F2937"/>
          <w:sz w:val="28"/>
          <w:szCs w:val="28"/>
        </w:rPr>
        <w:t xml:space="preserve">7.1  量化指标</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指标</w:t>
            </w:r>
          </w:p>
        </w:tc>
        <w:tc>
          <w:tcPr>
            <w:tcW w:type="dxa" w:w="288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优化前</w:t>
            </w:r>
          </w:p>
        </w:tc>
        <w:tc>
          <w:tcPr>
            <w:tcW w:type="dxa" w:w="288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优化后</w:t>
            </w:r>
          </w:p>
        </w:tc>
      </w:tr>
      <w:tr>
        <w:tc>
          <w:tcPr>
            <w:tcW w:type="dxa" w:w="3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20"/>
                <w:szCs w:val="20"/>
              </w:rPr>
              <w:t xml:space="preserve">CI/CD 流水线</w:t>
            </w:r>
          </w:p>
        </w:tc>
        <w:tc>
          <w:tcPr>
            <w:tcW w:type="dxa" w:w="28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center"/>
            </w:pPr>
            <w:r>
              <w:rPr>
                <w:rFonts w:ascii="Arial" w:cs="Arial" w:eastAsia="Arial" w:hAnsi="Arial"/>
                <w:b w:val="false"/>
                <w:bCs w:val="false"/>
                <w:color w:val="1F2937"/>
                <w:sz w:val="20"/>
                <w:szCs w:val="20"/>
              </w:rPr>
              <w:t xml:space="preserve">无</w:t>
            </w:r>
          </w:p>
        </w:tc>
        <w:tc>
          <w:tcPr>
            <w:tcW w:type="dxa" w:w="28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center"/>
            </w:pPr>
            <w:r>
              <w:rPr>
                <w:rFonts w:ascii="Arial" w:cs="Arial" w:eastAsia="Arial" w:hAnsi="Arial"/>
                <w:b w:val="false"/>
                <w:bCs w:val="false"/>
                <w:color w:val="1F2937"/>
                <w:sz w:val="20"/>
                <w:szCs w:val="20"/>
              </w:rPr>
              <w:t xml:space="preserve">3-job 自动化流水线</w:t>
            </w:r>
          </w:p>
        </w:tc>
      </w:tr>
      <w:tr>
        <w:tc>
          <w:tcPr>
            <w:tcW w:type="dxa" w:w="3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20"/>
                <w:szCs w:val="20"/>
              </w:rPr>
              <w:t xml:space="preserve">后端测试文件</w:t>
            </w:r>
          </w:p>
        </w:tc>
        <w:tc>
          <w:tcPr>
            <w:tcW w:type="dxa" w:w="28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center"/>
            </w:pPr>
            <w:r>
              <w:rPr>
                <w:rFonts w:ascii="Arial" w:cs="Arial" w:eastAsia="Arial" w:hAnsi="Arial"/>
                <w:b w:val="false"/>
                <w:bCs w:val="false"/>
                <w:color w:val="1F2937"/>
                <w:sz w:val="20"/>
                <w:szCs w:val="20"/>
              </w:rPr>
              <w:t xml:space="preserve">4 个</w:t>
            </w:r>
          </w:p>
        </w:tc>
        <w:tc>
          <w:tcPr>
            <w:tcW w:type="dxa" w:w="28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center"/>
            </w:pPr>
            <w:r>
              <w:rPr>
                <w:rFonts w:ascii="Arial" w:cs="Arial" w:eastAsia="Arial" w:hAnsi="Arial"/>
                <w:b w:val="false"/>
                <w:bCs w:val="false"/>
                <w:color w:val="1F2937"/>
                <w:sz w:val="20"/>
                <w:szCs w:val="20"/>
              </w:rPr>
              <w:t xml:space="preserve">9 个</w:t>
            </w:r>
          </w:p>
        </w:tc>
      </w:tr>
      <w:tr>
        <w:tc>
          <w:tcPr>
            <w:tcW w:type="dxa" w:w="3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20"/>
                <w:szCs w:val="20"/>
              </w:rPr>
              <w:t xml:space="preserve">测试代码量</w:t>
            </w:r>
          </w:p>
        </w:tc>
        <w:tc>
          <w:tcPr>
            <w:tcW w:type="dxa" w:w="28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center"/>
            </w:pPr>
            <w:r>
              <w:rPr>
                <w:rFonts w:ascii="Arial" w:cs="Arial" w:eastAsia="Arial" w:hAnsi="Arial"/>
                <w:b w:val="false"/>
                <w:bCs w:val="false"/>
                <w:color w:val="1F2937"/>
                <w:sz w:val="20"/>
                <w:szCs w:val="20"/>
              </w:rPr>
              <w:t xml:space="preserve">~18 KB</w:t>
            </w:r>
          </w:p>
        </w:tc>
        <w:tc>
          <w:tcPr>
            <w:tcW w:type="dxa" w:w="28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center"/>
            </w:pPr>
            <w:r>
              <w:rPr>
                <w:rFonts w:ascii="Arial" w:cs="Arial" w:eastAsia="Arial" w:hAnsi="Arial"/>
                <w:b w:val="false"/>
                <w:bCs w:val="false"/>
                <w:color w:val="1F2937"/>
                <w:sz w:val="20"/>
                <w:szCs w:val="20"/>
              </w:rPr>
              <w:t xml:space="preserve">~46 KB</w:t>
            </w:r>
          </w:p>
        </w:tc>
      </w:tr>
      <w:tr>
        <w:tc>
          <w:tcPr>
            <w:tcW w:type="dxa" w:w="3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20"/>
                <w:szCs w:val="20"/>
              </w:rPr>
              <w:t xml:space="preserve">前端 any 类型</w:t>
            </w:r>
          </w:p>
        </w:tc>
        <w:tc>
          <w:tcPr>
            <w:tcW w:type="dxa" w:w="28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center"/>
            </w:pPr>
            <w:r>
              <w:rPr>
                <w:rFonts w:ascii="Arial" w:cs="Arial" w:eastAsia="Arial" w:hAnsi="Arial"/>
                <w:b w:val="false"/>
                <w:bCs w:val="false"/>
                <w:color w:val="1F2937"/>
                <w:sz w:val="20"/>
                <w:szCs w:val="20"/>
              </w:rPr>
              <w:t xml:space="preserve">21 处</w:t>
            </w:r>
          </w:p>
        </w:tc>
        <w:tc>
          <w:tcPr>
            <w:tcW w:type="dxa" w:w="28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center"/>
            </w:pPr>
            <w:r>
              <w:rPr>
                <w:rFonts w:ascii="Arial" w:cs="Arial" w:eastAsia="Arial" w:hAnsi="Arial"/>
                <w:b w:val="false"/>
                <w:bCs w:val="false"/>
                <w:color w:val="1F2937"/>
                <w:sz w:val="20"/>
                <w:szCs w:val="20"/>
              </w:rPr>
              <w:t xml:space="preserve">0 处</w:t>
            </w:r>
          </w:p>
        </w:tc>
      </w:tr>
      <w:tr>
        <w:tc>
          <w:tcPr>
            <w:tcW w:type="dxa" w:w="3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20"/>
                <w:szCs w:val="20"/>
              </w:rPr>
              <w:t xml:space="preserve">API 限流覆盖</w:t>
            </w:r>
          </w:p>
        </w:tc>
        <w:tc>
          <w:tcPr>
            <w:tcW w:type="dxa" w:w="28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center"/>
            </w:pPr>
            <w:r>
              <w:rPr>
                <w:rFonts w:ascii="Arial" w:cs="Arial" w:eastAsia="Arial" w:hAnsi="Arial"/>
                <w:b w:val="false"/>
                <w:bCs w:val="false"/>
                <w:color w:val="1F2937"/>
                <w:sz w:val="20"/>
                <w:szCs w:val="20"/>
              </w:rPr>
              <w:t xml:space="preserve">无</w:t>
            </w:r>
          </w:p>
        </w:tc>
        <w:tc>
          <w:tcPr>
            <w:tcW w:type="dxa" w:w="28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center"/>
            </w:pPr>
            <w:r>
              <w:rPr>
                <w:rFonts w:ascii="Arial" w:cs="Arial" w:eastAsia="Arial" w:hAnsi="Arial"/>
                <w:b w:val="false"/>
                <w:bCs w:val="false"/>
                <w:color w:val="1F2937"/>
                <w:sz w:val="20"/>
                <w:szCs w:val="20"/>
              </w:rPr>
              <w:t xml:space="preserve">5 端点组 (5-30 req/min)</w:t>
            </w:r>
          </w:p>
        </w:tc>
      </w:tr>
      <w:tr>
        <w:tc>
          <w:tcPr>
            <w:tcW w:type="dxa" w:w="3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20"/>
                <w:szCs w:val="20"/>
              </w:rPr>
              <w:t xml:space="preserve">WebSocket 限流</w:t>
            </w:r>
          </w:p>
        </w:tc>
        <w:tc>
          <w:tcPr>
            <w:tcW w:type="dxa" w:w="28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center"/>
            </w:pPr>
            <w:r>
              <w:rPr>
                <w:rFonts w:ascii="Arial" w:cs="Arial" w:eastAsia="Arial" w:hAnsi="Arial"/>
                <w:b w:val="false"/>
                <w:bCs w:val="false"/>
                <w:color w:val="1F2937"/>
                <w:sz w:val="20"/>
                <w:szCs w:val="20"/>
              </w:rPr>
              <w:t xml:space="preserve">无</w:t>
            </w:r>
          </w:p>
        </w:tc>
        <w:tc>
          <w:tcPr>
            <w:tcW w:type="dxa" w:w="28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center"/>
            </w:pPr>
            <w:r>
              <w:rPr>
                <w:rFonts w:ascii="Arial" w:cs="Arial" w:eastAsia="Arial" w:hAnsi="Arial"/>
                <w:b w:val="false"/>
                <w:bCs w:val="false"/>
                <w:color w:val="1F2937"/>
                <w:sz w:val="20"/>
                <w:szCs w:val="20"/>
              </w:rPr>
              <w:t xml:space="preserve">20 次/分钟</w:t>
            </w:r>
          </w:p>
        </w:tc>
      </w:tr>
      <w:tr>
        <w:tc>
          <w:tcPr>
            <w:tcW w:type="dxa" w:w="3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20"/>
                <w:szCs w:val="20"/>
              </w:rPr>
              <w:t xml:space="preserve">生产环境异常脱敏</w:t>
            </w:r>
          </w:p>
        </w:tc>
        <w:tc>
          <w:tcPr>
            <w:tcW w:type="dxa" w:w="28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center"/>
            </w:pPr>
            <w:r>
              <w:rPr>
                <w:rFonts w:ascii="Arial" w:cs="Arial" w:eastAsia="Arial" w:hAnsi="Arial"/>
                <w:b w:val="false"/>
                <w:bCs w:val="false"/>
                <w:color w:val="1F2937"/>
                <w:sz w:val="20"/>
                <w:szCs w:val="20"/>
              </w:rPr>
              <w:t xml:space="preserve">无</w:t>
            </w:r>
          </w:p>
        </w:tc>
        <w:tc>
          <w:tcPr>
            <w:tcW w:type="dxa" w:w="28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center"/>
            </w:pPr>
            <w:r>
              <w:rPr>
                <w:rFonts w:ascii="Arial" w:cs="Arial" w:eastAsia="Arial" w:hAnsi="Arial"/>
                <w:b w:val="false"/>
                <w:bCs w:val="false"/>
                <w:color w:val="1F2937"/>
                <w:sz w:val="20"/>
                <w:szCs w:val="20"/>
              </w:rPr>
              <w:t xml:space="preserve">✓ 已启用</w:t>
            </w:r>
          </w:p>
        </w:tc>
      </w:tr>
      <w:tr>
        <w:tc>
          <w:tcPr>
            <w:tcW w:type="dxa" w:w="3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20"/>
                <w:szCs w:val="20"/>
              </w:rPr>
              <w:t xml:space="preserve">Docker 非 root 用户</w:t>
            </w:r>
          </w:p>
        </w:tc>
        <w:tc>
          <w:tcPr>
            <w:tcW w:type="dxa" w:w="28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center"/>
            </w:pPr>
            <w:r>
              <w:rPr>
                <w:rFonts w:ascii="Arial" w:cs="Arial" w:eastAsia="Arial" w:hAnsi="Arial"/>
                <w:b w:val="false"/>
                <w:bCs w:val="false"/>
                <w:color w:val="1F2937"/>
                <w:sz w:val="20"/>
                <w:szCs w:val="20"/>
              </w:rPr>
              <w:t xml:space="preserve">无</w:t>
            </w:r>
          </w:p>
        </w:tc>
        <w:tc>
          <w:tcPr>
            <w:tcW w:type="dxa" w:w="28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center"/>
            </w:pPr>
            <w:r>
              <w:rPr>
                <w:rFonts w:ascii="Arial" w:cs="Arial" w:eastAsia="Arial" w:hAnsi="Arial"/>
                <w:b w:val="false"/>
                <w:bCs w:val="false"/>
                <w:color w:val="1F2937"/>
                <w:sz w:val="20"/>
                <w:szCs w:val="20"/>
              </w:rPr>
              <w:t xml:space="preserve">finagent 用户</w:t>
            </w:r>
          </w:p>
        </w:tc>
      </w:tr>
      <w:tr>
        <w:tc>
          <w:tcPr>
            <w:tcW w:type="dxa" w:w="3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20"/>
                <w:szCs w:val="20"/>
              </w:rPr>
              <w:t xml:space="preserve">ARIA 无障碍属性</w:t>
            </w:r>
          </w:p>
        </w:tc>
        <w:tc>
          <w:tcPr>
            <w:tcW w:type="dxa" w:w="28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center"/>
            </w:pPr>
            <w:r>
              <w:rPr>
                <w:rFonts w:ascii="Arial" w:cs="Arial" w:eastAsia="Arial" w:hAnsi="Arial"/>
                <w:b w:val="false"/>
                <w:bCs w:val="false"/>
                <w:color w:val="1F2937"/>
                <w:sz w:val="20"/>
                <w:szCs w:val="20"/>
              </w:rPr>
              <w:t xml:space="preserve">0</w:t>
            </w:r>
          </w:p>
        </w:tc>
        <w:tc>
          <w:tcPr>
            <w:tcW w:type="dxa" w:w="28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center"/>
            </w:pPr>
            <w:r>
              <w:rPr>
                <w:rFonts w:ascii="Arial" w:cs="Arial" w:eastAsia="Arial" w:hAnsi="Arial"/>
                <w:b w:val="false"/>
                <w:bCs w:val="false"/>
                <w:color w:val="1F2937"/>
                <w:sz w:val="20"/>
                <w:szCs w:val="20"/>
              </w:rPr>
              <w:t xml:space="preserve">7 处关键组件</w:t>
            </w:r>
          </w:p>
        </w:tc>
      </w:tr>
      <w:tr>
        <w:tc>
          <w:tcPr>
            <w:tcW w:type="dxa" w:w="3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20"/>
                <w:szCs w:val="20"/>
              </w:rPr>
              <w:t xml:space="preserve">共享类型体系</w:t>
            </w:r>
          </w:p>
        </w:tc>
        <w:tc>
          <w:tcPr>
            <w:tcW w:type="dxa" w:w="28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center"/>
            </w:pPr>
            <w:r>
              <w:rPr>
                <w:rFonts w:ascii="Arial" w:cs="Arial" w:eastAsia="Arial" w:hAnsi="Arial"/>
                <w:b w:val="false"/>
                <w:bCs w:val="false"/>
                <w:color w:val="1F2937"/>
                <w:sz w:val="20"/>
                <w:szCs w:val="20"/>
              </w:rPr>
              <w:t xml:space="preserve">无</w:t>
            </w:r>
          </w:p>
        </w:tc>
        <w:tc>
          <w:tcPr>
            <w:tcW w:type="dxa" w:w="28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center"/>
            </w:pPr>
            <w:r>
              <w:rPr>
                <w:rFonts w:ascii="Arial" w:cs="Arial" w:eastAsia="Arial" w:hAnsi="Arial"/>
                <w:b w:val="false"/>
                <w:bCs w:val="false"/>
                <w:color w:val="1F2937"/>
                <w:sz w:val="20"/>
                <w:szCs w:val="20"/>
              </w:rPr>
              <w:t xml:space="preserve">types.ts (6 接口)</w:t>
            </w:r>
          </w:p>
        </w:tc>
      </w:tr>
    </w:tbl>
    <w:p>
      <w:pPr>
        <w:pStyle w:val="Heading2"/>
        <w:spacing w:after="160" w:before="240"/>
      </w:pPr>
      <w:r>
        <w:rPr>
          <w:rFonts w:ascii="Arial" w:cs="Arial" w:eastAsia="Arial" w:hAnsi="Arial"/>
          <w:b/>
          <w:bCs/>
          <w:color w:val="1F2937"/>
          <w:sz w:val="28"/>
          <w:szCs w:val="28"/>
        </w:rPr>
        <w:t xml:space="preserve">7.2  CI 验证结果</w:t>
      </w:r>
    </w:p>
    <w:p>
      <w:pPr>
        <w:spacing w:after="160" w:line="360"/>
      </w:pPr>
      <w:r>
        <w:rPr>
          <w:rFonts w:ascii="Arial" w:cs="Arial" w:eastAsia="Arial" w:hAnsi="Arial"/>
          <w:color w:val="1F2937"/>
          <w:sz w:val="22"/>
          <w:szCs w:val="22"/>
        </w:rPr>
        <w:t xml:space="preserve">最新 CI 运行（Run #27513575192，Commit be3979c）三个 Job 全部通过：lint ✓（ruff + black + isort + ESLint 全部通过）→ test ✓（pytest 全部测试通过，覆盖率已上报 Codecov）→ build ✓（Docker 前后端镜像构建成功，TypeScript 编译零错误，镜像已推送至 GHCR）。</w:t>
      </w:r>
    </w:p>
    <w:p>
      <w:pPr>
        <w:pStyle w:val="Heading2"/>
        <w:spacing w:after="160" w:before="240"/>
      </w:pPr>
      <w:r>
        <w:rPr>
          <w:rFonts w:ascii="Arial" w:cs="Arial" w:eastAsia="Arial" w:hAnsi="Arial"/>
          <w:b/>
          <w:bCs/>
          <w:color w:val="1F2937"/>
          <w:sz w:val="28"/>
          <w:szCs w:val="28"/>
        </w:rPr>
        <w:t xml:space="preserve">7.3  安全能力矩阵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安全能力</w:t>
            </w:r>
          </w:p>
        </w:tc>
        <w:tc>
          <w:tcPr>
            <w:tcW w:type="dxa" w:w="308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实现方式</w:t>
            </w:r>
          </w:p>
        </w:tc>
        <w:tc>
          <w:tcPr>
            <w:tcW w:type="dxa" w:w="308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防护效果</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20"/>
                <w:szCs w:val="20"/>
              </w:rPr>
              <w:t xml:space="preserve">CORS 策略</w:t>
            </w:r>
          </w:p>
        </w:tc>
        <w:tc>
          <w:tcPr>
            <w:tcW w:type="dxa" w:w="3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环境变量动态注入</w:t>
            </w:r>
          </w:p>
        </w:tc>
        <w:tc>
          <w:tcPr>
            <w:tcW w:type="dxa" w:w="3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防止未授权跨域访问</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20"/>
                <w:szCs w:val="20"/>
              </w:rPr>
              <w:t xml:space="preserve">异常脱敏</w:t>
            </w:r>
          </w:p>
        </w:tc>
        <w:tc>
          <w:tcPr>
            <w:tcW w:type="dxa" w:w="3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ENV 感知的响应策略</w:t>
            </w:r>
          </w:p>
        </w:tc>
        <w:tc>
          <w:tcPr>
            <w:tcW w:type="dxa" w:w="3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防止内部信息泄露</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20"/>
                <w:szCs w:val="20"/>
              </w:rPr>
              <w:t xml:space="preserve">分布式限流</w:t>
            </w:r>
          </w:p>
        </w:tc>
        <w:tc>
          <w:tcPr>
            <w:tcW w:type="dxa" w:w="3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Redis Sorted Set 滑动窗口</w:t>
            </w:r>
          </w:p>
        </w:tc>
        <w:tc>
          <w:tcPr>
            <w:tcW w:type="dxa" w:w="3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多 worker 状态共享</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20"/>
                <w:szCs w:val="20"/>
              </w:rPr>
              <w:t xml:space="preserve">WS 限流</w:t>
            </w:r>
          </w:p>
        </w:tc>
        <w:tc>
          <w:tcPr>
            <w:tcW w:type="dxa" w:w="3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纯 ASGI + 关闭帧 1013</w:t>
            </w:r>
          </w:p>
        </w:tc>
        <w:tc>
          <w:tcPr>
            <w:tcW w:type="dxa" w:w="3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防止 WebSocket 滥用</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20"/>
                <w:szCs w:val="20"/>
              </w:rPr>
              <w:t xml:space="preserve">容器安全</w:t>
            </w:r>
          </w:p>
        </w:tc>
        <w:tc>
          <w:tcPr>
            <w:tcW w:type="dxa" w:w="3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非 root 用户 + 健康检查</w:t>
            </w:r>
          </w:p>
        </w:tc>
        <w:tc>
          <w:tcPr>
            <w:tcW w:type="dxa" w:w="3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最小权限原则</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20"/>
                <w:szCs w:val="20"/>
              </w:rPr>
              <w:t xml:space="preserve">请求追踪</w:t>
            </w:r>
          </w:p>
        </w:tc>
        <w:tc>
          <w:tcPr>
            <w:tcW w:type="dxa" w:w="3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x-request-id 全链路注入</w:t>
            </w:r>
          </w:p>
        </w:tc>
        <w:tc>
          <w:tcPr>
            <w:tcW w:type="dxa" w:w="3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分布式调试可观测</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1F2937"/>
                <w:sz w:val="20"/>
                <w:szCs w:val="20"/>
              </w:rPr>
              <w:t xml:space="preserve">路径遍历防护</w:t>
            </w:r>
          </w:p>
        </w:tc>
        <w:tc>
          <w:tcPr>
            <w:tcW w:type="dxa" w:w="3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会话 ID 校验 + 测试覆盖</w:t>
            </w:r>
          </w:p>
        </w:tc>
        <w:tc>
          <w:tcPr>
            <w:tcW w:type="dxa" w:w="3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防止目录穿透攻击</w:t>
            </w:r>
          </w:p>
        </w:tc>
      </w:tr>
    </w:tbl>
    <w:p>
      <w:r>
        <w:br w:type="page"/>
      </w:r>
    </w:p>
    <w:p>
      <w:pPr>
        <w:pStyle w:val="Heading1"/>
        <w:spacing w:after="240" w:before="360"/>
      </w:pPr>
      <w:r>
        <w:rPr>
          <w:rFonts w:ascii="Arial" w:cs="Arial" w:eastAsia="Arial" w:hAnsi="Arial"/>
          <w:b/>
          <w:bCs/>
          <w:color w:val="1A56DB"/>
          <w:sz w:val="36"/>
          <w:szCs w:val="36"/>
        </w:rPr>
        <w:t xml:space="preserve">8  商业可行性与市场定位</w:t>
      </w:r>
    </w:p>
    <w:p>
      <w:pPr>
        <w:pStyle w:val="Heading2"/>
        <w:spacing w:after="160" w:before="240"/>
      </w:pPr>
      <w:r>
        <w:rPr>
          <w:rFonts w:ascii="Arial" w:cs="Arial" w:eastAsia="Arial" w:hAnsi="Arial"/>
          <w:b/>
          <w:bCs/>
          <w:color w:val="1F2937"/>
          <w:sz w:val="28"/>
          <w:szCs w:val="28"/>
        </w:rPr>
        <w:t xml:space="preserve">8.1  市场分析</w:t>
      </w:r>
    </w:p>
    <w:p>
      <w:pPr>
        <w:spacing w:after="160" w:line="360"/>
      </w:pPr>
      <w:r>
        <w:rPr>
          <w:rFonts w:ascii="Arial" w:cs="Arial" w:eastAsia="Arial" w:hAnsi="Arial"/>
          <w:color w:val="1F2937"/>
          <w:sz w:val="22"/>
          <w:szCs w:val="22"/>
        </w:rPr>
        <w:t xml:space="preserve">FinAgent Pro 聚焦港股智能投顾市场。香港股票市场年交易额超过30万亿港币，拥有超过200万活跃个人投资者。随着AI技术在金融领域的渗透，智能投顾市场正迎来快速增长期，但当前市场渗透率不足15%，存在巨大的增长空间。传统投顾服务费用高昂（通常按资产管理规模1-2%收费），而AI驱动的智能投顾可以大幅降低成本，为普通投资者提供专业级服务。</w:t>
      </w:r>
    </w:p>
    <w:p>
      <w:pPr>
        <w:pStyle w:val="Heading2"/>
        <w:spacing w:after="160" w:before="240"/>
      </w:pPr>
      <w:r>
        <w:rPr>
          <w:rFonts w:ascii="Arial" w:cs="Arial" w:eastAsia="Arial" w:hAnsi="Arial"/>
          <w:b/>
          <w:bCs/>
          <w:color w:val="1F2937"/>
          <w:sz w:val="28"/>
          <w:szCs w:val="28"/>
        </w:rPr>
        <w:t xml:space="preserve">8.2  商业模式</w:t>
      </w:r>
    </w:p>
    <w:p>
      <w:pPr>
        <w:spacing w:after="160" w:line="360"/>
      </w:pPr>
      <w:r>
        <w:rPr>
          <w:rFonts w:ascii="Arial" w:cs="Arial" w:eastAsia="Arial" w:hAnsi="Arial"/>
          <w:color w:val="1F2937"/>
          <w:sz w:val="22"/>
          <w:szCs w:val="22"/>
        </w:rPr>
        <w:t xml:space="preserve">系统采用「基础免费 + 专业版订阅」的 SaaS 商业模式。基础版提供核心的多Agent分析功能，吸引用户并建立口碑；专业版（HK$99-499/月）提供高级分析指标、实时预警、个性化组合优化等增值服务。此外，面向持牌投顾机构提供 API 授权服务和白标定制方案，形成 B2B 收入来源。该模式兼顾用户增长和商业变现，具有可持续性。</w:t>
      </w:r>
    </w:p>
    <w:p>
      <w:pPr>
        <w:pStyle w:val="Heading2"/>
        <w:spacing w:after="160" w:before="240"/>
      </w:pPr>
      <w:r>
        <w:rPr>
          <w:rFonts w:ascii="Arial" w:cs="Arial" w:eastAsia="Arial" w:hAnsi="Arial"/>
          <w:b/>
          <w:bCs/>
          <w:color w:val="1F2937"/>
          <w:sz w:val="28"/>
          <w:szCs w:val="28"/>
        </w:rPr>
        <w:t xml:space="preserve">8.3  「四可」原则</w:t>
      </w:r>
    </w:p>
    <w:p>
      <w:pPr>
        <w:spacing w:after="160" w:line="360"/>
      </w:pPr>
      <w:r>
        <w:rPr>
          <w:rFonts w:ascii="Arial" w:cs="Arial" w:eastAsia="Arial" w:hAnsi="Arial"/>
          <w:color w:val="1F2937"/>
          <w:sz w:val="22"/>
          <w:szCs w:val="22"/>
        </w:rPr>
        <w:t xml:space="preserve">系统设计遵循「可开发、可落地、可复制、可推广」四大原则。可开发：全栈开源技术栈，无商业许可限制。可落地：已通过 Docker Compose 实现一键部署，具备完整 CI/CD 流水线和生产级安全防护。可复制：Docker 容器化部署可在任何云环境快速复制，零付费 API 依赖（DeepSeek + 智谱 GLM）。可推广：架构设计具备良好的扩展性，可轻松适配 A 股、美股等其他市场，支持多语言国际化。</w:t>
      </w:r>
    </w:p>
    <w:p>
      <w:r>
        <w:br w:type="page"/>
      </w:r>
    </w:p>
    <w:p>
      <w:pPr>
        <w:pStyle w:val="Heading1"/>
        <w:spacing w:after="240" w:before="360"/>
      </w:pPr>
      <w:r>
        <w:rPr>
          <w:rFonts w:ascii="Arial" w:cs="Arial" w:eastAsia="Arial" w:hAnsi="Arial"/>
          <w:b/>
          <w:bCs/>
          <w:color w:val="1A56DB"/>
          <w:sz w:val="36"/>
          <w:szCs w:val="36"/>
        </w:rPr>
        <w:t xml:space="preserve">9  团队介绍</w:t>
      </w:r>
    </w:p>
    <w:p>
      <w:pPr>
        <w:pStyle w:val="Heading2"/>
        <w:spacing w:after="160" w:before="240"/>
      </w:pPr>
      <w:r>
        <w:rPr>
          <w:rFonts w:ascii="Arial" w:cs="Arial" w:eastAsia="Arial" w:hAnsi="Arial"/>
          <w:b/>
          <w:bCs/>
          <w:color w:val="1F2937"/>
          <w:sz w:val="28"/>
          <w:szCs w:val="28"/>
        </w:rPr>
        <w:t xml:space="preserve">9.1  核心团队</w:t>
      </w:r>
    </w:p>
    <w:p>
      <w:pPr>
        <w:spacing w:after="160" w:line="360"/>
      </w:pPr>
      <w:r>
        <w:rPr>
          <w:rFonts w:ascii="Arial" w:cs="Arial" w:eastAsia="Arial" w:hAnsi="Arial"/>
          <w:color w:val="1F2937"/>
          <w:sz w:val="22"/>
          <w:szCs w:val="22"/>
        </w:rPr>
        <w:t xml:space="preserve">FinAgent Pro 团队由3名核心成员组成，覆盖系统架构、前端交互、金融工程三大关键领域。项目负责人陈一鸣负责系统架构设计与后端多Agent协作引擎开发，具备丰富的 Python/TypeScript 全栈开发和 LLM 应用经验。前端工程师林子轩负责 React 18 + TypeScript 前端开发、ECharts 数据可视化和 WebSocket 实时交互实现。金融工程师王思远负责金融数据模型、技术指标算法（MA/MACD/RSI/KDJ/VaR/CVaR）和港股市场分析策略设计。</w:t>
      </w:r>
    </w:p>
    <w:p>
      <w:pPr>
        <w:pStyle w:val="Heading2"/>
        <w:spacing w:after="160" w:before="240"/>
      </w:pPr>
      <w:r>
        <w:rPr>
          <w:rFonts w:ascii="Arial" w:cs="Arial" w:eastAsia="Arial" w:hAnsi="Arial"/>
          <w:b/>
          <w:bCs/>
          <w:color w:val="1F2937"/>
          <w:sz w:val="28"/>
          <w:szCs w:val="28"/>
        </w:rPr>
        <w:t xml:space="preserve">9.2  协作模式</w:t>
      </w:r>
    </w:p>
    <w:p>
      <w:pPr>
        <w:spacing w:after="160" w:line="360"/>
      </w:pPr>
      <w:r>
        <w:rPr>
          <w:rFonts w:ascii="Arial" w:cs="Arial" w:eastAsia="Arial" w:hAnsi="Arial"/>
          <w:color w:val="1F2937"/>
          <w:sz w:val="22"/>
          <w:szCs w:val="22"/>
        </w:rPr>
        <w:t xml:space="preserve">团队采用敏捷开发模式，基于 GitHub 进行代码协作和版本管理。通过 GitHub Actions CI/CD 流水线实现自动化质量门禁（lint → test → build），确保每次代码提交都经过严格检查。代码审查采用 Pull Request 机制，关键变更需至少一名成员审核。项目文档和决策记录统一维护在仓库 README 和 Wiki 中，确保知识沉淀和传承。</w:t>
      </w:r>
    </w:p>
    <w:p>
      <w:r>
        <w:br w:type="page"/>
      </w:r>
    </w:p>
    <w:p>
      <w:pPr>
        <w:pStyle w:val="Heading1"/>
        <w:spacing w:after="240" w:before="360"/>
      </w:pPr>
      <w:r>
        <w:rPr>
          <w:rFonts w:ascii="Arial" w:cs="Arial" w:eastAsia="Arial" w:hAnsi="Arial"/>
          <w:b/>
          <w:bCs/>
          <w:color w:val="1A56DB"/>
          <w:sz w:val="36"/>
          <w:szCs w:val="36"/>
        </w:rPr>
        <w:t xml:space="preserve">10  落地案例与演示效果</w:t>
      </w:r>
    </w:p>
    <w:p>
      <w:pPr>
        <w:pStyle w:val="Heading2"/>
        <w:spacing w:after="160" w:before="240"/>
      </w:pPr>
      <w:r>
        <w:rPr>
          <w:rFonts w:ascii="Arial" w:cs="Arial" w:eastAsia="Arial" w:hAnsi="Arial"/>
          <w:b/>
          <w:bCs/>
          <w:color w:val="1F2937"/>
          <w:sz w:val="28"/>
          <w:szCs w:val="28"/>
        </w:rPr>
        <w:t xml:space="preserve">10.1  演示场景：腾讯控股投资分析</w:t>
      </w:r>
    </w:p>
    <w:p>
      <w:pPr>
        <w:spacing w:after="160" w:line="360"/>
      </w:pPr>
      <w:r>
        <w:rPr>
          <w:rFonts w:ascii="Arial" w:cs="Arial" w:eastAsia="Arial" w:hAnsi="Arial"/>
          <w:color w:val="1F2937"/>
          <w:sz w:val="22"/>
          <w:szCs w:val="22"/>
        </w:rPr>
        <w:t xml:space="preserve">以腾讯控股（0700.HK）为例展示系统端到端工作能力。用户输入股票代码后，Orchestrator 自动规划四步 Agent 链式分析任务：Market Analyst Agent 通过 AKShare 获取最近60个交易日行情数据并计算 MA5/MA20/MA60 均线及 MACD/RSI/KDJ 技术指标；Sentiment Scanner Agent 分析资金流向和 RSI 情绪指标，构建多维度恐贪指数；Risk Manager Agent 计算 VaR（95%置信水平下约-2.3%）和 CVaR（约-3.8%），评估组合风险；Portfolio Advisor Agent 综合全部分析结果输出投资建议。</w:t>
      </w:r>
    </w:p>
    <w:p>
      <w:pPr>
        <w:pStyle w:val="Heading2"/>
        <w:spacing w:after="160" w:before="240"/>
      </w:pPr>
      <w:r>
        <w:rPr>
          <w:rFonts w:ascii="Arial" w:cs="Arial" w:eastAsia="Arial" w:hAnsi="Arial"/>
          <w:b/>
          <w:bCs/>
          <w:color w:val="1F2937"/>
          <w:sz w:val="28"/>
          <w:szCs w:val="28"/>
        </w:rPr>
        <w:t xml:space="preserve">10.2  分析结果与效率对比</w:t>
      </w:r>
    </w:p>
    <w:p>
      <w:pPr>
        <w:spacing w:after="160" w:line="360"/>
      </w:pPr>
      <w:r>
        <w:rPr>
          <w:rFonts w:ascii="Arial" w:cs="Arial" w:eastAsia="Arial" w:hAnsi="Arial"/>
          <w:color w:val="1F2937"/>
          <w:sz w:val="22"/>
          <w:szCs w:val="22"/>
        </w:rPr>
        <w:t xml:space="preserve">系统最终输出「谨慎看多」的综合投资建议，包含具体仓位配置方案（建议腾讯占比30%、阿里巴巴25%等）、止损止盈点位、Sharpe Ratio（1.35）等风险指标，以及 MACD 金叉信号、资金净流入等关键决策依据。全链路执行耗时约45秒，相比传统人工分析（通常需要数小时）效率提升两个数量级。所有分析过程通过 WebSocket 实时推送展示，DAG 决策图完整可追溯。</w:t>
      </w:r>
    </w:p>
    <w:p>
      <w:pPr>
        <w:pStyle w:val="Heading2"/>
        <w:spacing w:after="160" w:before="240"/>
      </w:pPr>
      <w:r>
        <w:rPr>
          <w:rFonts w:ascii="Arial" w:cs="Arial" w:eastAsia="Arial" w:hAnsi="Arial"/>
          <w:b/>
          <w:bCs/>
          <w:color w:val="1F2937"/>
          <w:sz w:val="28"/>
          <w:szCs w:val="28"/>
        </w:rPr>
        <w:t xml:space="preserve">10.3  可复制性与推广潜力</w:t>
      </w:r>
    </w:p>
    <w:p>
      <w:pPr>
        <w:spacing w:after="160" w:line="360"/>
      </w:pPr>
      <w:r>
        <w:rPr>
          <w:rFonts w:ascii="Arial" w:cs="Arial" w:eastAsia="Arial" w:hAnsi="Arial"/>
          <w:color w:val="1F2937"/>
          <w:sz w:val="22"/>
          <w:szCs w:val="22"/>
        </w:rPr>
        <w:t xml:space="preserve">该演示案例充分体现了系统的可复制性和推广潜力。全栈开源架构使得任何开发者都可以基于此框架快速搭建自己的智能投顾系统；Docker Compose 一键部署支持在任意云环境快速启动；国产 LLM 零海外依赖确保在国产网络环境下稳定运行。系统架构具备良好的扩展性，通过替换数据源和微调 Agent 提示词，可轻松适配 A 股、美股等其他市场。</w:t>
      </w:r>
    </w:p>
    <w:p>
      <w:r>
        <w:br w:type="page"/>
      </w:r>
    </w:p>
    <w:p>
      <w:pPr>
        <w:pStyle w:val="Heading1"/>
        <w:spacing w:after="240" w:before="360"/>
      </w:pPr>
      <w:r>
        <w:rPr>
          <w:rFonts w:ascii="Arial" w:cs="Arial" w:eastAsia="Arial" w:hAnsi="Arial"/>
          <w:b/>
          <w:bCs/>
          <w:color w:val="1A56DB"/>
          <w:sz w:val="36"/>
          <w:szCs w:val="36"/>
        </w:rPr>
        <w:t xml:space="preserve">11  总结与展望</w:t>
      </w:r>
    </w:p>
    <w:p>
      <w:pPr>
        <w:pStyle w:val="Heading2"/>
        <w:spacing w:after="160" w:before="240"/>
      </w:pPr>
      <w:r>
        <w:rPr>
          <w:rFonts w:ascii="Arial" w:cs="Arial" w:eastAsia="Arial" w:hAnsi="Arial"/>
          <w:b/>
          <w:bCs/>
          <w:color w:val="1F2937"/>
          <w:sz w:val="28"/>
          <w:szCs w:val="28"/>
        </w:rPr>
        <w:t xml:space="preserve">11.1  核心成果</w:t>
      </w:r>
    </w:p>
    <w:p>
      <w:pPr>
        <w:spacing w:after="160" w:line="360"/>
      </w:pPr>
      <w:r>
        <w:rPr>
          <w:rFonts w:ascii="Arial" w:cs="Arial" w:eastAsia="Arial" w:hAnsi="Arial"/>
          <w:color w:val="1F2937"/>
          <w:sz w:val="22"/>
          <w:szCs w:val="22"/>
        </w:rPr>
        <w:t xml:space="preserve">本次优化工程通过四层递进式架构，将 FinAgent Pro 从一个功能原型提升为具备生产级质量的完整系统。在 CI/CD 层面，建立了严格的三阶段流水线，实现了从代码提交到镜像推送的全自动化。在安全层面，实现了纵深防御体系，覆盖了 CORS、异常处理、分布式限流和 WebSocket 安全。在测试层面，测试覆盖翻倍，特别加强了安全边界测试。在前端层面，实现了零 any 的严格类型安全和无障碍访问支持。</w:t>
      </w:r>
    </w:p>
    <w:p>
      <w:pPr>
        <w:pStyle w:val="Heading2"/>
        <w:spacing w:after="160" w:before="240"/>
      </w:pPr>
      <w:r>
        <w:rPr>
          <w:rFonts w:ascii="Arial" w:cs="Arial" w:eastAsia="Arial" w:hAnsi="Arial"/>
          <w:b/>
          <w:bCs/>
          <w:color w:val="1F2937"/>
          <w:sz w:val="28"/>
          <w:szCs w:val="28"/>
        </w:rPr>
        <w:t xml:space="preserve">11.2  工程价值</w:t>
      </w:r>
    </w:p>
    <w:p>
      <w:pPr>
        <w:spacing w:after="160" w:line="360"/>
      </w:pPr>
      <w:r>
        <w:rPr>
          <w:rFonts w:ascii="Arial" w:cs="Arial" w:eastAsia="Arial" w:hAnsi="Arial"/>
          <w:color w:val="1F2937"/>
          <w:sz w:val="22"/>
          <w:szCs w:val="22"/>
        </w:rPr>
        <w:t xml:space="preserve">这套优化体系的工程价值在于：它不仅仅是功能开发，而是从工程化角度构建了一套可持续演进的质量保障体系。CI/CD 流水线确保每次代码变更都经过严格检验；安全加固措施为生产环境提供了纵深防御；全面的测试覆盖为后续迭代提供了安全网；严格的类型系统则保障了前端代码的可维护性。这些工程实践体现了对金融级软件质量标准的追求。</w:t>
      </w:r>
    </w:p>
    <w:p>
      <w:pPr>
        <w:pStyle w:val="Heading2"/>
        <w:spacing w:after="160" w:before="240"/>
      </w:pPr>
      <w:r>
        <w:rPr>
          <w:rFonts w:ascii="Arial" w:cs="Arial" w:eastAsia="Arial" w:hAnsi="Arial"/>
          <w:b/>
          <w:bCs/>
          <w:color w:val="1F2937"/>
          <w:sz w:val="28"/>
          <w:szCs w:val="28"/>
        </w:rPr>
        <w:t xml:space="preserve">11.3  后续规划</w:t>
      </w:r>
    </w:p>
    <w:p>
      <w:pPr>
        <w:spacing w:after="160" w:line="360"/>
      </w:pPr>
      <w:r>
        <w:rPr>
          <w:rFonts w:ascii="Arial" w:cs="Arial" w:eastAsia="Arial" w:hAnsi="Arial"/>
          <w:color w:val="1F2937"/>
          <w:sz w:val="22"/>
          <w:szCs w:val="22"/>
        </w:rPr>
        <w:t xml:space="preserve">未来可在以下方向继续深化：技术层面，引入静态应用安全测试（SAST）和依赖漏洞扫描，增加集成测试和端到端测试，引入性能基准测试和压力测试。部署层面，添加 Kubernetes 编排以支持水平扩展，引入更多 LLM 模型供应商以增强容错能力。商业层面，推进 SaaS 订阅制上线，建立机构 API 授权体系，拓展 A 股和东南亚市场。生态层面，开放插件市场允许第三方扩展 Agent 能力，构建开发者社区推动持续创新。</w:t>
      </w:r>
    </w:p>
    <w:p>
      <w:r>
        <w:rPr>
          <w:b/>
          <w:sz w:val="32"/>
        </w:rPr>
        <w:t>6  生产级交付冲刺（2026-06）</w:t>
      </w:r>
    </w:p>
    <w:p>
      <w:r>
        <w:t>在 AFAC2026 作品提交前的最后阶段，团队对 FinAgent Pro 进行了生产级交付冲刺，目标是从“工程化可用”迈向“冠军品质可交付”。</w:t>
      </w:r>
    </w:p>
    <w:p>
      <w:r>
        <w:rPr>
          <w:b/>
          <w:sz w:val="26"/>
        </w:rPr>
        <w:t>6.1  冲刺范围</w:t>
      </w:r>
    </w:p>
    <w:p>
      <w:r>
        <w:t>• 后端：102 个 pytest 用例全绿，1 个跳过；DeprecationWarning 已过滤。</w:t>
      </w:r>
    </w:p>
    <w:p>
      <w:r>
        <w:t>• 前端：ESLint、TypeScript --noEmit、Vite 生产构建、Playwright E2E（3 个用例全过）全部通过。</w:t>
      </w:r>
    </w:p>
    <w:p>
      <w:r>
        <w:t>• Docker：docker compose build 成功；docker compose up -d 启动 4 服务并全部 Healthy。</w:t>
      </w:r>
    </w:p>
    <w:p>
      <w:r>
        <w:t>• 性能：Locust Smoke 压测 17 请求 0 失败；首屏 index.js 205 KB（gzip 67 KB）。</w:t>
      </w:r>
    </w:p>
    <w:p>
      <w:r>
        <w:t>• 可观测性：新增请求耗时/状态码日志中间件。</w:t>
      </w:r>
    </w:p>
    <w:p>
      <w:r>
        <w:t>• 文档：CHANGELOG.md、DEPLOY.md、部署指南.md、补充材料清单.md 全部补齐。</w:t>
      </w:r>
    </w:p>
    <w:p>
      <w:r>
        <w:t>• CI/CD：GitHub Actions 覆盖后端测试、前端 lint/typecheck/build、Playwright E2E、Docker 构建与推送。</w:t>
      </w:r>
    </w:p>
    <w:p>
      <w:r>
        <w:rPr>
          <w:b/>
          <w:sz w:val="26"/>
        </w:rPr>
        <w:t>6.2  关键修复</w:t>
      </w:r>
    </w:p>
    <w:p>
      <w:r>
        <w:t>• Docker 构建：固定 crewai-tools / litellm 等传递依赖，避免 pip resolver 回溯；前端 Docker 使用 --legacy-peer-deps。</w:t>
      </w:r>
    </w:p>
    <w:p>
      <w:r>
        <w:t>• Locust 压测：修复登录请求字段，从 form username 改为 JSON email，压测 0 失败。</w:t>
      </w:r>
    </w:p>
    <w:p>
      <w:r>
        <w:t>• Git 推送：本地 HTTPS 被环境重置，通过 gh api graphql createCommitOnBranch 完成远程同步。</w:t>
      </w:r>
    </w:p>
    <w:p>
      <w:r>
        <w:rPr>
          <w:b/>
          <w:sz w:val="26"/>
        </w:rPr>
        <w:t>6.3  交付结论</w:t>
      </w:r>
    </w:p>
    <w:p>
      <w:r>
        <w:t>截至 2026-06-18，FinAgent Pro 后端、前端、Docker、测试、文档、CI/CD 均达到生产级交付标准，综合自评 10/10。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AFAC2026 · FinAgent Pro Team · </w:t>
    </w:r>
    <w:r>
      <w:rPr>
        <w:rFonts w:ascii="Arial" w:cs="Arial" w:eastAsia="Arial" w:hAnsi="Arial"/>
        <w:color w:val="6B7280"/>
        <w:sz w:val="16"/>
        <w:szCs w:val="16"/>
      </w:rPr>
      <w:t xml:space="preserve">第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6"/>
        <w:szCs w:val="16"/>
      </w:rPr>
      <w:t xml:space="preserve">FinAgent Pro — 系统优化工程总结报告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A56DB"/>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F2937"/>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6B728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2026-06-14T23:22:28.277Z</dcterms:created>
  <dcterms:modified xsi:type="dcterms:W3CDTF">2026-06-14T23:22:28.281Z</dcterms:modified>
</cp:coreProperties>
</file>

<file path=docProps/custom.xml><?xml version="1.0" encoding="utf-8"?>
<Properties xmlns="http://schemas.openxmlformats.org/officeDocument/2006/custom-properties" xmlns:vt="http://schemas.openxmlformats.org/officeDocument/2006/docPropsVTypes"/>
</file>