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100"/>
      </w:pPr>
      <w:r>
        <w:rPr>
          <w:rFonts w:ascii="Arial" w:cs="Arial" w:eastAsia="Arial" w:hAnsi="Arial"/>
          <w:b/>
          <w:bCs/>
          <w:color w:val="1A56DB"/>
          <w:sz w:val="36"/>
          <w:szCs w:val="36"/>
        </w:rPr>
        <w:t xml:space="preserve">FinAgent Pro 答辩演讲稿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多 Agent 智能投顾系统 · AFAC2026 方向四 Agentic AI</w:t>
      </w:r>
    </w:p>
    <w:p>
      <w:pPr>
        <w:spacing w:after="2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建议总时长：约 12 分钟  |  配合 16 页 PPT 使用</w:t>
      </w:r>
    </w:p>
    <w:p>
      <w:pPr>
        <w:pBdr>
          <w:bottom w:val="single" w:color="1A56DB" w:sz="2"/>
        </w:pBdr>
        <w:spacing w:after="20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1 — 封面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30 秒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开场白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各位评委老师，你们好！我们是 FinAgent Pro 团队。今天非常荣幸能在这里向大家汇报我们的作品——FinAgent Pro，一套基于大语言模型与多智能体协作技术构建的智能投顾系统。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我们的项目定位是金融领域的“数字员工”——一个能够自主规划、决策并执行复杂金融任务的 AI 智能体。下面请允许我从问题背景、核心创新、工程质量和竞争优势四个方面进行汇报。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2 — 背景与问题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1 分钟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行业痛点分析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在开始介绍方案之前，我们先看一下当前智能投顾领域面临的三大核心痛点。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第一，投研效率低。传统的投研分析需要人工采集数据、手动计算技术指标、逐一评估风险。单次完整分析往往需要数小时，而且很难同时覆盖技术面、情绪面、风险面等多个维度。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第二，决策单一化。无论是单一的量化模型还是单一的分析师，都难以同时兼顾多个视角。市场分析、情绪感知、风险评估和组合配置是四个专业领域，需要专业化的分工协作。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第三，透明度不足。传统量化模型往往是“黑箱”输出，用户无法理解决策过程，难以建立信任。金融场景下，可解释性和可追溯性至关重要。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基于这三个痛点，我们的愿景是：构建一个能自主规划、多维协作、可追溯决策的 AI 投顾“数字员工”。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3 — 解决方案概览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1 分 30 秒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多 Agent 架构介绍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我们的解决方案是一套多智能体协作架构，由四个专业 Agent 和一个 Orchestrator 编排器组成。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市场分析师 Agent 负责数据采集和技术分析。它通过 AKShare 获取港股实时行情，计算 MA5、MA20、MA60 均线以及 MACD、RSI、KDJ 等技术指标，为后续决策提供数据基础。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情绪扫描器 Agent 专注于市场情绪感知。它综合资金流向分析和 RSI 情绪量化，构建多维度恐贪指数，捕捉市场情绪的微妙变化。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风险经理 Agent 是整个系统的安全阀。它计算 VaR、CVaR 和 Sharpe Ratio，通过协方差矩阵进行专业级的组合风险评估。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组合顾问 Agent 负责最终的资产配置方案生成。它综合前三个 Agent 的分析结果，通过权重优化算法输出具体的投资建议。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而这四个 Agent 都由底部的 Orchestrator 编排协调器统一管理，它负责任务规划、容错降级和知识库注入。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4 — 系统架构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1 分钟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四层架构设计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系统采用经典的四层架构设计。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最上层是前端展现层，基于 React 18 和 TypeScript 构建，使用 Ant Design 5 作为 UI 组件库，ECharts 5 进行数据可视化。前端实现了完全的类型安全，零 any 类型。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第二层是 API 网关层，基于 FastAPI 框架，配合 Nginx 反向代理，支持 WebSocket 实时推送和 JWT 认证。这一层还包含了我们自研的分布式限流中间件。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第三层是多智能体协作层，这是系统的核心。Orchestrator 协调 4 个专业 Agent，通过 LangChain 进行 LLM 调用管理，ChromaDB 提供 RAG 知识库增强。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最底层是数据与基础设施层，PostgreSQL 16 提供持久化存储，Redis 7 提供缓存和分布式状态，AKShare 提供金融数据源。整个系统通过 Docker Compose 编排四个服务容器。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5 — 核心创新 ①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1 分 30 秒</w:t>
            </w:r>
          </w:p>
        </w:tc>
      </w:tr>
    </w:tbl>
    <w:p>
      <w:pPr>
        <w:pStyle w:val="Heading3"/>
        <w:spacing w:after="100" w:before="160"/>
      </w:pPr>
      <w:r>
        <w:t>多智能体DAG 并行编排</w:t>
      </w:r>
    </w:p>
    <w:p>
      <w:pPr>
        <w:spacing w:after="180" w:line="380"/>
      </w:pPr>
      <w:r>
        <w:t>接下来我重点介绍三大核心创新。第一个创新是多智能体DAG 并行编排。</w:t>
      </w:r>
    </w:p>
    <w:p>
      <w:pPr>
        <w:spacing w:after="180" w:line="380"/>
      </w:pPr>
      <w:r>
        <w:t>与传统的并行调用模式不同，我们的四个 Agent 是串行DAG 并行编排执行的。数据采集→情绪感知→风险评估→组合配置，每一步的输出都是下一步的输入，Agent 之间实现了真实的数据传递。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这里有几个关键的技术亮点。首先，Orchestrator 统一规划所有任务，具备容错降级能力，每个 Agent 调用设置 60 秒超时和 3 次自动重试。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其次，LLM 支持主备自动切换。我们以 DeepSeek 作为主模型，智谱 GLM 作为备用模型，当主模型不可用时自动切换，确保服务连续性。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此外，我们还引入了 RAG 知识库增强。通过 ChromaDB 语义检索，为每个 Agent 动态注入专业金融知识，提升分析的专业性和准确性。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6 — 核心创新 ②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1 分钟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实时推送与决策追溯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第二个创新是实时推送与决策追溯能力。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在实时推送方面，我们基于 WebSocket 实现了 Agent 思考过程的流式展示。用户可以实时看到每个 Agent 正在思考什么、调用了哪些工具、得出了什么结论。这种透明化在金融场景下非常重要——用户不仅需要结果，更需要理解过程。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我们还实现了心跳检测、断线自动重连和指数退避等工程细节，确保实时推送的稳定性。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在决策追溯方面，我们设计了 DAG 可视化决策图。通过 ECharts 渲染 Agent 依赖关系图，实时标记当前执行到哪个节点，每步决策的理由和依据都可以追溯。这套机制让用户能够完全理解 AI 的决策逻辑。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7 — 核心创新 ③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1 分 30 秒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全栈工程质量体系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第三个创新是我们对工程质量的全面追求。作为金融系统，我们深知质量和可靠性的重要性。因此我们从四个维度构建了全栈工程质量体系。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第一是 CI/CD 工程化。我们构建了严格的三阶段 GitHub Actions 流水线：lint 检查代码规范 → test 执行全部测试 → build 构建 Docker 镜像并推送到 GHCR。任一环节失败都会阻断后续流程，确保主分支代码始终可部署。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第二是纵深安全防御。我们实现了 CORS 策略净化、Redis 分布式滑动窗口限流、生产环境异常信息脱敏、WebSocket 关闭帧防护等多重安全措施。后面我会专门展开介绍。</w:t>
      </w:r>
    </w:p>
    <w:p>
      <w:pPr>
        <w:spacing w:after="180" w:line="380"/>
      </w:pPr>
      <w:r>
        <w:t>第三是全面测试覆盖。我们拥有 102 个后端测试 + 3 个 E2E 测试、约 完整测试覆盖（pytest + Playwright），覆盖了 WebSocket 管理器、会话记忆、CRUD 操作、认证依赖、市场数据服务等核心模块，并特别包含了安全边界测试。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第四是前端类型安全。我们对 7 个文件中的 21 处 any 类型进行了全面清除，建立了共享类型体系，并添加了 ARIA 无障碍属性。整个前端在 TypeScript 严格模式下零错误编译。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8 — 安全加固深度剖析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1 分钟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安全架构详解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安全是金融系统的生命线。我们的安全架构采用纵深防御理念。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在限流方面，我们设计了双层限流架构。RedisRateLimiter 基于 Redis 有序集合实现滑动窗口算法，使用原子操作保证多 Worker 进程间的状态一致性。当 Redis 不可用时，自动降级到内存限流器，确保服务不中断。如左侧表格所示，我们对不同端点设置了差异化的限流策略。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在异常处理方面，我们建立了完整的异常层级体系。关键的安全设计是：在生产环境下，全局异常处理器仅返回通用错误描述，绝不暴露内部异常信息，防止敏感数据泄露。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此外，Docker 容器采用非 root 用户运行，每个请求都注入唯一的 x-request-id 用于分布式追踪，并实现了会话路径遍历攻击防护。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9 — 优化成果量化对比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1 分钟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数据说话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让我们用数据来说话。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本次优化工程共实施了 55 项优化措施，覆盖四个层次。后端测试模块从 4 个增加到 9 个，测试代码量从 18KB 增长到 46KB。前端的 any 类型从 21 处降低到零。CI 流水线从无到有，实现了 100% 自动化通过率。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如表格所示，从 CI/CD 流水线、测试覆盖、API 限流、前端类型安全到 ARIA 无障碍，每一个维度都实现了从“无”到“有”的质变。这些不是纸上谈兵，而是经过了 GitHub Actions CI 流水线的实际验证。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10 — 技术栈与部署架构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1 分钟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技术细节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在技术选型方面，我们坚持“国产自主可控”原则。后端基于 FastAPI，智能体框架使用 LangChain 和 CrewAI，模型层采用 DeepSeek 和智谱 GLM 双模型架构，全链路可在国产网络环境下运行。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部署方面，Backend 镜像基于 python:3.10-slim，采用非 root 用户运行，配置 2 个 Uvicorn worker。Frontend 采用多阶段构建，从 Node 20 编译到 Nginx Alpine 运行。数据库层包括 PostgreSQL 16 和 Redis 7，配备健康检查和持久化卷。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整个 CI/CD 流水线基于 GitHub Actions，从代码检查到镜像推送完全自动化，并通过 Codecov 上报测试覆盖率。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11 — 竞争优势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1 分钟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差异化优势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与市场上的其他方案相比，FinAgent Pro 具有六大差异化优势。</w:t>
      </w:r>
    </w:p>
    <w:p>
      <w:pPr>
        <w:spacing w:after="180" w:line="380"/>
      </w:pPr>
      <w:r>
        <w:t>首先是真实多智能体协作。我们的 Agent 之间是真实的数据传递，而不是简单的并行调用。Orchestrator 统一规划任务，实现了真正的DAG 决策闭环。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其次是自主智能体闭环。从感知到推理再到行动，全流程自主执行，无需人工干预。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第三是实时透明化。WebSocket 流式推送加上 DAG 可视化，让用户能看到 AI 的每一步思考过程。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第四是国产自主可控。全链路可在国产网络环境运行，零海外 API 依赖。第五是生产级工程质量。最后是零成本开源架构，可快速复制和扩展。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12 — 落地案例与演示效果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1 分钟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实际演示：腾讯控股分析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接下来我用一个实际案例来展示系统的端到端工作能力。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我们以腾讯控股为例。用户输入股票代码后，Orchestrator 自动规划四步 Agent 链式分析。Market Analyst 采集60日行情并计算均线和技术指标，Sentiment Scanner 分析资金流向和恐贪指数，Risk Manager 计算 VaR 和 CVaR 等风险指标，Portfolio Advisor 综合全部结果输出投资建议。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整个过程全自动执行，耗时约45秒。系统最终输出「谨慎看多」的综合建议，包含具体仓位配置、Sharpe Ratio 1.35等风险指标，以及 MACD 金叉、资金净流入等关键决策依据。相比传统人工分析需要数小时，效率提升两个数量级。而且所有分析过程通过 WebSocket 实时展示，DAG 决策图完全可追溯。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13 — 商业可行性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1 分钟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商业模式与市场机会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在商业可行性方面，FinAgent Pro 聚焦港股智能投顾市场。香港股票市场年交易额超30万亿港币，智能投顾渗透率不足15%，市场空间巨大。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我们采用「基础免费加专业版订阅」的 SaaS 模式，专业版月费99到499港币，面向持牌投顾机构还提供 API 授权和白标定制服务。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系统的核心竞争力在于全栈开源、零付费API依赖、国产LLM自主可控。通过 Docker Compose 一键部署，可在任何云环境快速复制。架构设计支持拓展 A 股、美股等其他市场，具备良好的可推广性。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14 — 团队介绍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30 秒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核心团队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我们团队由3名核心成员组成。陈一鸣担任项目负责人和架构师，负责系统架构设计与后端多Agent引擎开发。林子轩是前端工程师，负责 React 和 TypeScript 全栈开发以及数据可视化。王思远是金融工程师，负责金融数据模型和风控算法设计。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团队具备 Python/TypeScript 全栈开发、LLM 应用开发和金融量化分析的复合能力，采用敏捷开发和 GitHub CI/CD 协作模式。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15 — 未来规划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30 秒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发展路线图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最后是我们的未来规划。分三个阶段推进：第一阶段，2025年下半年完善 MVP 核心功能，深耕港股市场。第二阶段，2026年拓展 A 股和东南亚市场，引入回测验证引擎，启动 SaaS 商业化运营。第三阶段，2027年开放机构版 API，实现 Kubernetes 水平扩展，对接合规审计与牌照。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我们的目标是成为 Agentic AI 在金融投顾领域的标杆产品，让每一位投资者都能享受到 AI 驱动的专业投顾服务。</w:t>
      </w:r>
    </w:p>
    <w:p>
      <w:r>
        <w:br w:type="page"/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Slide 16 — 结束页</w:t>
      </w:r>
    </w:p>
    <w:tbl>
      <w:tblPr>
        <w:tblW w:type="dxa" w:w="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EFF6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Segoe UI Emoji" w:cs="Segoe UI Emoji" w:eastAsia="Segoe UI Emoji" w:hAnsi="Segoe UI Emoji"/>
                <w:sz w:val="18"/>
                <w:szCs w:val="18"/>
              </w:rPr>
              <w:t xml:space="preserve">⏱ </w:t>
            </w:r>
            <w:r>
              <w:rPr>
                <w:rFonts w:ascii="Calibri" w:cs="Calibri" w:eastAsia="Calibri" w:hAnsi="Calibri"/>
                <w:b/>
                <w:bCs/>
                <w:color w:val="1A56DB"/>
                <w:sz w:val="18"/>
                <w:szCs w:val="18"/>
              </w:rPr>
              <w:t xml:space="preserve">建议时长：≈ 30 秒</w:t>
            </w:r>
          </w:p>
        </w:tc>
      </w:tr>
    </w:tbl>
    <w:p>
      <w:pPr>
        <w:pStyle w:val="Heading3"/>
        <w:spacing w:after="100" w:before="16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总结与致谢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总结一下，FinAgent Pro 是一套真正具备多智能体协作能力的智能投顾系统。我们不仅实现了功能层面的创新，更在工程质量上达到了生产级标准。从 CI/CD 全自动化到纵深安全防御，从全面测试覆盖到零 any 类型安全，每一个细节都体现了我们对金融级软件质量的追求。</w:t>
      </w:r>
    </w:p>
    <w:p>
      <w:pPr>
        <w:spacing w:after="180" w:line="3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感谢各位评委老师的聆听！我们非常期待大家的提问和指导。谢谢！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附录：答辩注意事项</w:t>
      </w:r>
    </w:p>
    <w:p>
      <w:pPr>
        <w:spacing w:after="140" w:line="360"/>
      </w:pPr>
      <w:r>
        <w:rPr>
          <w:rFonts w:ascii="Calibri" w:cs="Calibri" w:eastAsia="Calibri" w:hAnsi="Calibri"/>
          <w:color w:val="1A56DB"/>
          <w:sz w:val="22"/>
          <w:szCs w:val="22"/>
        </w:rPr>
        <w:t xml:space="preserve">▸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控制节奏：每页严格控制在建议时长内，避免前半段超时导致后半段厉害。</w:t>
      </w:r>
    </w:p>
    <w:p>
      <w:pPr>
        <w:spacing w:after="140" w:line="360"/>
      </w:pPr>
      <w:r>
        <w:rPr>
          <w:rFonts w:ascii="Calibri" w:cs="Calibri" w:eastAsia="Calibri" w:hAnsi="Calibri"/>
          <w:color w:val="1A56DB"/>
          <w:sz w:val="22"/>
          <w:szCs w:val="22"/>
        </w:rPr>
        <w:t xml:space="preserve">▸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重点突出：核心创新三页（Slide 5-7）是评分重点，可适当放慢节奏，强调技术深度。</w:t>
      </w:r>
    </w:p>
    <w:p>
      <w:pPr>
        <w:spacing w:after="140" w:line="360"/>
      </w:pPr>
      <w:r>
        <w:rPr>
          <w:rFonts w:ascii="Calibri" w:cs="Calibri" w:eastAsia="Calibri" w:hAnsi="Calibri"/>
          <w:color w:val="1A56DB"/>
          <w:sz w:val="22"/>
          <w:szCs w:val="22"/>
        </w:rPr>
        <w:t xml:space="preserve">▸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数据支撑：Slide 9 的量化指标是说服力最强的页面，可稍停留让评委充分阅读。</w:t>
      </w:r>
    </w:p>
    <w:p>
      <w:pPr>
        <w:spacing w:after="140" w:line="360"/>
      </w:pPr>
      <w:r>
        <w:rPr>
          <w:rFonts w:ascii="Calibri" w:cs="Calibri" w:eastAsia="Calibri" w:hAnsi="Calibri"/>
          <w:color w:val="1A56DB"/>
          <w:sz w:val="22"/>
          <w:szCs w:val="22"/>
        </w:rPr>
        <w:t xml:space="preserve">▸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互动准备：提前准备 Q&amp;A 环节可能的问题，如模型幻觉处理、实盘回测效果、数据源可靠性等。</w:t>
      </w:r>
    </w:p>
    <w:p>
      <w:pPr>
        <w:spacing w:after="140" w:line="360"/>
      </w:pPr>
      <w:r>
        <w:rPr>
          <w:rFonts w:ascii="Calibri" w:cs="Calibri" w:eastAsia="Calibri" w:hAnsi="Calibri"/>
          <w:color w:val="1A56DB"/>
          <w:sz w:val="22"/>
          <w:szCs w:val="22"/>
        </w:rPr>
        <w:t xml:space="preserve">▸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语速控制：保持每分钟 150-180 字的语速，避免过快导致评委跟不上技术细节。</w:t>
      </w:r>
    </w:p>
    <w:p>
      <w:pPr>
        <w:spacing w:after="140" w:line="360"/>
      </w:pPr>
      <w:r>
        <w:rPr>
          <w:rFonts w:ascii="Calibri" w:cs="Calibri" w:eastAsia="Calibri" w:hAnsi="Calibri"/>
          <w:color w:val="1A56DB"/>
          <w:sz w:val="22"/>
          <w:szCs w:val="22"/>
        </w:rPr>
        <w:t xml:space="preserve">▸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肢体语言：切页时稍做停顿，给评委时间消化当前内容，再开始下一部分。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FinAgent Pro Team · 第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FinAgent Pro 答辩演讲稿 · AFAC2026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00"/>
      <w:outlineLvl w:val="0"/>
    </w:pPr>
    <w:rPr>
      <w:rFonts w:ascii="Arial" w:cs="Arial" w:eastAsia="Arial" w:hAnsi="Arial"/>
      <w:b/>
      <w:bCs/>
      <w:color w:val="1A56D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A56D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1F293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2026-06-14T23:20:04.508Z</dcterms:created>
  <dcterms:modified xsi:type="dcterms:W3CDTF">2026-06-14T23:20:04.513Z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