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6DB"/>
          <w:sz w:val="84"/>
        </w:rPr>
        <w:t>项目申报书</w:t>
      </w:r>
    </w:p>
    <w:p>
      <w:pPr>
        <w:jc w:val="center"/>
      </w:pPr>
      <w:r>
        <w:rPr>
          <w:rFonts w:ascii="微软雅黑" w:hAnsi="微软雅黑" w:eastAsia="微软雅黑"/>
          <w:color w:val="0E7C86"/>
          <w:sz w:val="36"/>
        </w:rPr>
        <w:t>全球脑机接口×医保创新场景大赛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32"/>
        </w:rPr>
        <w:t>场景应用赛道</w:t>
      </w:r>
    </w:p>
    <w:p>
      <w:pPr>
        <w:jc w:val="center"/>
      </w:pPr>
      <w:r>
        <w:rPr>
          <w:color w:val="1A56DB"/>
          <w:sz w:val="28"/>
        </w:rPr>
        <w:t>━━━━━━━━━━━━━━━━━━━━</w:t>
      </w:r>
    </w:p>
    <w:p/>
    <w:p/>
    <w:p/>
    <w:p>
      <w:pPr>
        <w:jc w:val="center"/>
      </w:pPr>
      <w:r>
        <w:rPr>
          <w:rFonts w:ascii="微软雅黑" w:hAnsi="微软雅黑" w:eastAsia="微软雅黑"/>
          <w:b/>
          <w:color w:val="1F2937"/>
          <w:sz w:val="56"/>
        </w:rPr>
        <w:t>医保智脑</w:t>
      </w:r>
    </w:p>
    <w:p>
      <w:pPr>
        <w:jc w:val="center"/>
      </w:pPr>
      <w:r>
        <w:rPr>
          <w:rFonts w:ascii="微软雅黑" w:hAnsi="微软雅黑" w:eastAsia="微软雅黑"/>
          <w:color w:val="6B7280"/>
          <w:sz w:val="28"/>
        </w:rPr>
        <w:t>基于BCI脑电监测的医保主动健康服务智能体</w:t>
      </w:r>
    </w:p>
    <w:p/>
    <w:p/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6B7280"/>
          <w:sz w:val="24"/>
        </w:rPr>
        <w:t>2026年7月</w:t>
      </w:r>
    </w:p>
    <w:p>
      <w:r>
        <w:br w:type="page"/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一、  项目基本信息</w:t>
      </w:r>
    </w:p>
    <w:p>
      <w:pPr>
        <w:spacing w:after="120"/>
      </w:pPr>
      <w:r>
        <w:rPr>
          <w:rFonts w:ascii="微软雅黑" w:hAnsi="微软雅黑" w:eastAsia="微软雅黑"/>
          <w:b/>
          <w:color w:val="1A56DB"/>
          <w:sz w:val="24"/>
        </w:rPr>
        <w:t>项目名称：</w:t>
      </w:r>
      <w:r>
        <w:rPr>
          <w:rFonts w:ascii="微软雅黑" w:hAnsi="微软雅黑" w:eastAsia="微软雅黑"/>
          <w:color w:val="1F2937"/>
          <w:sz w:val="22"/>
        </w:rPr>
        <w:t>医保智脑——基于BCI脑电监测的医保主动健康服务智能体</w:t>
      </w:r>
    </w:p>
    <w:p>
      <w:pPr>
        <w:spacing w:after="120"/>
      </w:pPr>
      <w:r>
        <w:rPr>
          <w:rFonts w:ascii="微软雅黑" w:hAnsi="微软雅黑" w:eastAsia="微软雅黑"/>
          <w:b/>
          <w:color w:val="0E7C86"/>
          <w:sz w:val="24"/>
        </w:rPr>
        <w:t>参赛赛道：</w:t>
      </w:r>
      <w:r>
        <w:rPr>
          <w:rFonts w:ascii="微软雅黑" w:hAnsi="微软雅黑" w:eastAsia="微软雅黑"/>
          <w:color w:val="1F2937"/>
          <w:sz w:val="22"/>
        </w:rPr>
        <w:t>场景应用赛道（赛道7：芯测预警——脑血管疾病预警、认知与精神状态早期筛查、行业人群脑健康监测）</w:t>
      </w:r>
    </w:p>
    <w:p>
      <w:pPr>
        <w:spacing w:after="120"/>
      </w:pPr>
      <w:r>
        <w:rPr>
          <w:rFonts w:ascii="微软雅黑" w:hAnsi="微软雅黑" w:eastAsia="微软雅黑"/>
          <w:b/>
          <w:color w:val="1F2937"/>
          <w:sz w:val="24"/>
        </w:rPr>
        <w:t>项目定位：</w:t>
      </w:r>
      <w:r>
        <w:rPr>
          <w:rFonts w:ascii="微软雅黑" w:hAnsi="微软雅黑" w:eastAsia="微软雅黑"/>
          <w:color w:val="1F2937"/>
          <w:sz w:val="22"/>
        </w:rPr>
        <w:t>将脑机接口（BCI）脑电监测技术与医保数据要素深度融合，构建"脑电采集→健康评估→风险预警→医保政策联动"的全链路智能服务，实现从"被动报销"到"主动健康"的范式转变。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二、  项目背景与痛点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E7C86"/>
          <w:sz w:val="28"/>
        </w:rPr>
        <w:t>2.1  社会背景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color w:val="1F2937"/>
          <w:sz w:val="22"/>
        </w:rPr>
        <w:t>我国脑血管疾病年发病人数超300万，认知障碍患者超5000万，焦虑抑郁人群超9000万。早期发现、早期干预可显著降低疾病负担。然而存在以下痛点：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筛查覆盖率低：</w:t>
      </w:r>
      <w:r>
        <w:rPr>
          <w:rFonts w:ascii="微软雅黑" w:hAnsi="微软雅黑" w:eastAsia="微软雅黑"/>
          <w:color w:val="1F2937"/>
          <w:sz w:val="22"/>
        </w:rPr>
        <w:t>常规体检缺乏脑功能筛查，脑血管病首发即重症比例高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认知衰退隐匿：</w:t>
      </w:r>
      <w:r>
        <w:rPr>
          <w:rFonts w:ascii="微软雅黑" w:hAnsi="微软雅黑" w:eastAsia="微软雅黑"/>
          <w:color w:val="1F2937"/>
          <w:sz w:val="22"/>
        </w:rPr>
        <w:t>轻度认知障碍（MCI）早期无明显症状，确诊时已进展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精神健康忽视：</w:t>
      </w:r>
      <w:r>
        <w:rPr>
          <w:rFonts w:ascii="微软雅黑" w:hAnsi="微软雅黑" w:eastAsia="微软雅黑"/>
          <w:color w:val="1F2937"/>
          <w:sz w:val="22"/>
        </w:rPr>
        <w:t>焦虑抑郁早期识别率不足30%，错过最佳干预窗口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医保政策信息不对称：</w:t>
      </w:r>
      <w:r>
        <w:rPr>
          <w:rFonts w:ascii="微软雅黑" w:hAnsi="微软雅黑" w:eastAsia="微软雅黑"/>
          <w:color w:val="1F2937"/>
          <w:sz w:val="22"/>
        </w:rPr>
        <w:t>80%参保人不知道可享受的脑健康相关医保待遇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E7C86"/>
          <w:sz w:val="28"/>
        </w:rPr>
        <w:t>2.2  技术机遇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color w:val="1F2937"/>
          <w:sz w:val="22"/>
        </w:rPr>
        <w:t>脑机接口技术使脑电监测从实验室走向消费级场景。结合医保数据要素战略，可实现：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 xml:space="preserve">脑电异常 → </w:t>
      </w:r>
      <w:r>
        <w:rPr>
          <w:rFonts w:ascii="微软雅黑" w:hAnsi="微软雅黑" w:eastAsia="微软雅黑"/>
          <w:color w:val="1F2937"/>
          <w:sz w:val="22"/>
        </w:rPr>
        <w:t>自动识别脑血管/认知/精神风险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 xml:space="preserve">风险预警 → </w:t>
      </w:r>
      <w:r>
        <w:rPr>
          <w:rFonts w:ascii="微软雅黑" w:hAnsi="微软雅黑" w:eastAsia="微软雅黑"/>
          <w:color w:val="1F2937"/>
          <w:sz w:val="22"/>
        </w:rPr>
        <w:t>自动联动医保政策（门诊慢病/检查报销/绿色通道）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 xml:space="preserve">主动健康 → </w:t>
      </w:r>
      <w:r>
        <w:rPr>
          <w:rFonts w:ascii="微软雅黑" w:hAnsi="微软雅黑" w:eastAsia="微软雅黑"/>
          <w:color w:val="1F2937"/>
          <w:sz w:val="22"/>
        </w:rPr>
        <w:t>从"生病报销"到"预警预防"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三、  技术方案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E7C86"/>
          <w:sz w:val="28"/>
        </w:rPr>
        <w:t>3.1  系统架构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color w:val="1F2937"/>
          <w:sz w:val="22"/>
        </w:rPr>
        <w:t>采用"1+6+N"多智能体架构：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1个编排智能体：</w:t>
      </w:r>
      <w:r>
        <w:rPr>
          <w:rFonts w:ascii="微软雅黑" w:hAnsi="微软雅黑" w:eastAsia="微软雅黑"/>
          <w:color w:val="1F2937"/>
          <w:sz w:val="22"/>
        </w:rPr>
        <w:t>意图识别 + 路由分发 + 结果聚合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6个专业智能体：</w:t>
      </w:r>
      <w:r>
        <w:rPr>
          <w:rFonts w:ascii="微软雅黑" w:hAnsi="微软雅黑" w:eastAsia="微软雅黑"/>
          <w:color w:val="1F2937"/>
          <w:sz w:val="22"/>
        </w:rPr>
        <w:t>权益管家、报销助手、健康卫士、政策参谋、安全守门、脑电卫士（BCI创新）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N个应用场景：</w:t>
      </w:r>
      <w:r>
        <w:rPr>
          <w:rFonts w:ascii="微软雅黑" w:hAnsi="微软雅黑" w:eastAsia="微软雅黑"/>
          <w:color w:val="1F2937"/>
          <w:sz w:val="22"/>
        </w:rPr>
        <w:t>权益查询、报销预审、健康画像、政策匹配、脑电健康评估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E7C86"/>
          <w:sz w:val="28"/>
        </w:rPr>
        <w:t>3.2  BCI脑电健康引擎（核心创新）</w:t>
      </w:r>
    </w:p>
    <w:p>
      <w:pPr>
        <w:spacing w:after="120"/>
      </w:pPr>
      <w:r>
        <w:rPr>
          <w:rFonts w:ascii="微软雅黑" w:hAnsi="微软雅黑" w:eastAsia="微软雅黑"/>
          <w:b/>
          <w:color w:val="1A56DB"/>
          <w:sz w:val="24"/>
        </w:rPr>
        <w:t>信号采集：</w:t>
      </w:r>
      <w:r>
        <w:rPr>
          <w:rFonts w:ascii="微软雅黑" w:hAnsi="微软雅黑" w:eastAsia="微软雅黑"/>
          <w:color w:val="1F2937"/>
          <w:sz w:val="22"/>
        </w:rPr>
        <w:t>支持消费级EEG设备（Muse 4通道 TP9/AF7/AF8/TP10，256Hz）+ 合成信号模拟 + 文件导入</w:t>
      </w:r>
    </w:p>
    <w:p>
      <w:pPr>
        <w:spacing w:after="120"/>
      </w:pPr>
      <w:r>
        <w:rPr>
          <w:rFonts w:ascii="微软雅黑" w:hAnsi="微软雅黑" w:eastAsia="微软雅黑"/>
          <w:b/>
          <w:color w:val="1A56DB"/>
          <w:sz w:val="24"/>
        </w:rPr>
        <w:t>频域分析：</w:t>
      </w:r>
      <w:r>
        <w:rPr>
          <w:rFonts w:ascii="微软雅黑" w:hAnsi="微软雅黑" w:eastAsia="微软雅黑"/>
          <w:color w:val="1F2937"/>
          <w:sz w:val="22"/>
        </w:rPr>
        <w:t>Welch PSD（Hann窗+50%重叠+FFT）→ δ/θ/α/β/γ 五频段功率积分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color w:val="1F2937"/>
          <w:sz w:val="22"/>
        </w:rPr>
        <w:t>健康指标计算（8维，0-100归一化）：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3402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算法依据</w:t>
            </w:r>
          </w:p>
        </w:tc>
        <w:tc>
          <w:tcPr>
            <w:tcW w:type="dxa" w:w="3402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临床意义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压力指数</w:t>
            </w:r>
          </w:p>
        </w:tc>
        <w:tc>
          <w:tcPr>
            <w:tcW w:type="dxa" w:w="3402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α/β比值反演</w:t>
            </w:r>
          </w:p>
        </w:tc>
        <w:tc>
          <w:tcPr>
            <w:tcW w:type="dxa" w:w="3402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长期压力影响心血管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注意力指数</w:t>
            </w:r>
          </w:p>
        </w:tc>
        <w:tc>
          <w:tcPr>
            <w:tcW w:type="dxa" w:w="3402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θ/β比值反演</w:t>
            </w:r>
          </w:p>
        </w:tc>
        <w:tc>
          <w:tcPr>
            <w:tcW w:type="dxa" w:w="3402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注意力下降影响生活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睡眠质量</w:t>
            </w:r>
          </w:p>
        </w:tc>
        <w:tc>
          <w:tcPr>
            <w:tcW w:type="dxa" w:w="3402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δ+θ占比</w:t>
            </w:r>
          </w:p>
        </w:tc>
        <w:tc>
          <w:tcPr>
            <w:tcW w:type="dxa" w:w="3402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深睡相关频段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认知负荷</w:t>
            </w:r>
          </w:p>
        </w:tc>
        <w:tc>
          <w:tcPr>
            <w:tcW w:type="dxa" w:w="3402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β+γ占比</w:t>
            </w:r>
          </w:p>
        </w:tc>
        <w:tc>
          <w:tcPr>
            <w:tcW w:type="dxa" w:w="3402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脑力消耗程度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情绪状态</w:t>
            </w:r>
          </w:p>
        </w:tc>
        <w:tc>
          <w:tcPr>
            <w:tcW w:type="dxa" w:w="3402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α不对称性+β活跃度</w:t>
            </w:r>
          </w:p>
        </w:tc>
        <w:tc>
          <w:tcPr>
            <w:tcW w:type="dxa" w:w="3402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焦虑/低落倾向</w:t>
            </w:r>
          </w:p>
        </w:tc>
      </w:tr>
      <w:tr>
        <w:tc>
          <w:tcPr>
            <w:tcW w:type="dxa" w:w="2268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脑血管风险 ⭐</w:t>
            </w:r>
          </w:p>
        </w:tc>
        <w:tc>
          <w:tcPr>
            <w:tcW w:type="dxa" w:w="3402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δ波激增+θ/α升高+α波抑制</w:t>
            </w:r>
          </w:p>
        </w:tc>
        <w:tc>
          <w:tcPr>
            <w:tcW w:type="dxa" w:w="3402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脑血管功能异常早期预警</w:t>
            </w:r>
          </w:p>
        </w:tc>
      </w:tr>
      <w:tr>
        <w:tc>
          <w:tcPr>
            <w:tcW w:type="dxa" w:w="2268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认知衰退风险 ⭐</w:t>
            </w:r>
          </w:p>
        </w:tc>
        <w:tc>
          <w:tcPr>
            <w:tcW w:type="dxa" w:w="3402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θ/α比值升高+α波相对功率降低</w:t>
            </w:r>
          </w:p>
        </w:tc>
        <w:tc>
          <w:tcPr>
            <w:tcW w:type="dxa" w:w="3402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轻度认知障碍(MCI)筛查</w:t>
            </w:r>
          </w:p>
        </w:tc>
      </w:tr>
      <w:tr>
        <w:tc>
          <w:tcPr>
            <w:tcW w:type="dxa" w:w="2268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精神状态筛查 ⭐</w:t>
            </w:r>
          </w:p>
        </w:tc>
        <w:tc>
          <w:tcPr>
            <w:tcW w:type="dxa" w:w="3402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焦虑评分+抑郁评分综合</w:t>
            </w:r>
          </w:p>
        </w:tc>
        <w:tc>
          <w:tcPr>
            <w:tcW w:type="dxa" w:w="3402"/>
            <w:shd w:val="clear" w:color="auto" w:fill="FEF3C7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b/>
                <w:color w:val="1F2937"/>
                <w:sz w:val="21"/>
              </w:rPr>
              <w:t>焦虑/抑郁倾向量化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  <w:b/>
          <w:color w:val="1F2937"/>
          <w:sz w:val="22"/>
        </w:rPr>
        <w:t>异常预警（8条规则，带evidence可解释）：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常规5条：</w:t>
      </w:r>
      <w:r>
        <w:rPr>
          <w:rFonts w:ascii="微软雅黑" w:hAnsi="微软雅黑" w:eastAsia="微软雅黑"/>
          <w:color w:val="1F2937"/>
          <w:sz w:val="22"/>
        </w:rPr>
        <w:t>高压力/睡眠差/认知过载/注意力低/情绪异常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赛道7核心3条：</w:t>
      </w:r>
      <w:r>
        <w:rPr>
          <w:rFonts w:ascii="微软雅黑" w:hAnsi="微软雅黑" w:eastAsia="微软雅黑"/>
          <w:color w:val="1F2937"/>
          <w:sz w:val="22"/>
        </w:rPr>
        <w:t>脑血管风险≥60 / 认知衰退≥60 / 精神状态焦虑抑郁≥60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color w:val="1F2937"/>
          <w:sz w:val="22"/>
        </w:rPr>
        <w:t>医保政策联动（8条规则）：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color w:val="1F2937"/>
          <w:sz w:val="22"/>
        </w:rPr>
        <w:t>脑血管病门诊慢病待遇 / 脑卒中绿色通道 / 颈动脉超声医保报销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color w:val="1F2937"/>
          <w:sz w:val="22"/>
        </w:rPr>
        <w:t>老年认知功能筛查 / 阿尔茨海默病门诊慢病 / 认知康复训练报销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color w:val="1F2937"/>
          <w:sz w:val="22"/>
        </w:rPr>
        <w:t>心理治疗医保报销 / 抑郁症焦虑症门诊慢病 / PHQ-9/GAD-7量表筛查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E7C86"/>
          <w:sz w:val="28"/>
        </w:rPr>
        <w:t>3.3  医保数据要素对齐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color w:val="1F2937"/>
          <w:sz w:val="22"/>
        </w:rPr>
        <w:t>对齐浙江省医保数据要素战略"1+3+N"框架：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1个数据底座：</w:t>
      </w:r>
      <w:r>
        <w:rPr>
          <w:rFonts w:ascii="微软雅黑" w:hAnsi="微软雅黑" w:eastAsia="微软雅黑"/>
          <w:color w:val="1F2937"/>
          <w:sz w:val="22"/>
        </w:rPr>
        <w:t>统一数据治理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3个核心能力：</w:t>
      </w:r>
      <w:r>
        <w:rPr>
          <w:rFonts w:ascii="微软雅黑" w:hAnsi="微软雅黑" w:eastAsia="微软雅黑"/>
          <w:color w:val="1F2937"/>
          <w:sz w:val="22"/>
        </w:rPr>
        <w:t>隐私计算（可用不可见）、区块链存证（可信可追溯）、数据沙箱（可控可计量）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N个应用场景：</w:t>
      </w:r>
      <w:r>
        <w:rPr>
          <w:rFonts w:ascii="微软雅黑" w:hAnsi="微软雅黑" w:eastAsia="微软雅黑"/>
          <w:color w:val="1F2937"/>
          <w:sz w:val="22"/>
        </w:rPr>
        <w:t>脑电健康评估即为典型场景</w:t>
      </w:r>
    </w:p>
    <w:p>
      <w:pPr>
        <w:spacing w:before="240" w:after="120"/>
      </w:pPr>
      <w:r>
        <w:rPr>
          <w:rFonts w:ascii="微软雅黑" w:hAnsi="微软雅黑" w:eastAsia="微软雅黑"/>
          <w:b/>
          <w:color w:val="0E7C86"/>
          <w:sz w:val="28"/>
        </w:rPr>
        <w:t>3.4  全链路可解释性</w:t>
      </w:r>
    </w:p>
    <w:p>
      <w:pPr>
        <w:spacing w:line="360" w:lineRule="auto" w:after="120"/>
        <w:ind w:firstLine="420"/>
      </w:pPr>
      <w:r>
        <w:rPr>
          <w:rFonts w:ascii="微软雅黑" w:hAnsi="微软雅黑" w:eastAsia="微软雅黑"/>
          <w:color w:val="1F2937"/>
          <w:sz w:val="22"/>
        </w:rPr>
        <w:t>每个决策都有来源：脑电指标有频段依据，预警有阈值规则，政策推荐有原文引用。不做黑箱AI，做参保人能信任的AI。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四、  创新亮点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BCI×医保全链路创新：</w:t>
      </w:r>
      <w:r>
        <w:rPr>
          <w:rFonts w:ascii="微软雅黑" w:hAnsi="微软雅黑" w:eastAsia="微软雅黑"/>
          <w:color w:val="1F2937"/>
          <w:sz w:val="22"/>
        </w:rPr>
        <w:t>国内首个将脑电监测与医保政策联动，实现"脑电异常→风险预警→医保政策自动推荐"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赛道7三大能力全覆盖：</w:t>
      </w:r>
      <w:r>
        <w:rPr>
          <w:rFonts w:ascii="微软雅黑" w:hAnsi="微软雅黑" w:eastAsia="微软雅黑"/>
          <w:color w:val="1F2937"/>
          <w:sz w:val="22"/>
        </w:rPr>
        <w:t>脑血管预警+认知衰退筛查+精神状态筛查，均有临床脑电标志物依据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多智能体协作：</w:t>
      </w:r>
      <w:r>
        <w:rPr>
          <w:rFonts w:ascii="微软雅黑" w:hAnsi="微软雅黑" w:eastAsia="微软雅黑"/>
          <w:color w:val="1F2937"/>
          <w:sz w:val="22"/>
        </w:rPr>
        <w:t>6个专业智能体+编排器，支持脑电+政策复合意图并行调度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消费级BCI适配：</w:t>
      </w:r>
      <w:r>
        <w:rPr>
          <w:rFonts w:ascii="微软雅黑" w:hAnsi="微软雅黑" w:eastAsia="微软雅黑"/>
          <w:color w:val="1F2937"/>
          <w:sz w:val="22"/>
        </w:rPr>
        <w:t>支持Muse等消费级设备，降低脑电监测门槛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主动健康范式：</w:t>
      </w:r>
      <w:r>
        <w:rPr>
          <w:rFonts w:ascii="微软雅黑" w:hAnsi="微软雅黑" w:eastAsia="微软雅黑"/>
          <w:color w:val="1F2937"/>
          <w:sz w:val="22"/>
        </w:rPr>
        <w:t>从"生病找医保"到"脑电预警+医保主动服务"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五、  应用场景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社区脑健康筛查：</w:t>
      </w:r>
      <w:r>
        <w:rPr>
          <w:rFonts w:ascii="微软雅黑" w:hAnsi="微软雅黑" w:eastAsia="微软雅黑"/>
          <w:color w:val="1F2937"/>
          <w:sz w:val="22"/>
        </w:rPr>
        <w:t>社区卫生服务中心配备EEG设备，老年人定期脑电筛查→脑血管/认知风险预警→医保政策指导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职场脑健康监测：</w:t>
      </w:r>
      <w:r>
        <w:rPr>
          <w:rFonts w:ascii="微软雅黑" w:hAnsi="微软雅黑" w:eastAsia="微软雅黑"/>
          <w:color w:val="1F2937"/>
          <w:sz w:val="22"/>
        </w:rPr>
        <w:t>高危行业（交通/医疗/能源）员工定期脑电监测→疲劳/压力预警→心理健康医保服务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慢病管理增强：</w:t>
      </w:r>
      <w:r>
        <w:rPr>
          <w:rFonts w:ascii="微软雅黑" w:hAnsi="微软雅黑" w:eastAsia="微软雅黑"/>
          <w:color w:val="1F2937"/>
          <w:sz w:val="22"/>
        </w:rPr>
        <w:t>糖尿病/高血压患者脑电监测→脑血管并发症早期预警→门诊慢病待遇联动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精神健康早期识别：</w:t>
      </w:r>
      <w:r>
        <w:rPr>
          <w:rFonts w:ascii="微软雅黑" w:hAnsi="微软雅黑" w:eastAsia="微软雅黑"/>
          <w:color w:val="1F2937"/>
          <w:sz w:val="22"/>
        </w:rPr>
        <w:t>脑电精神状态筛查→焦虑抑郁倾向量化→心理治疗医保报销引导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六、  产业化路径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阶段</w:t>
            </w:r>
          </w:p>
        </w:tc>
        <w:tc>
          <w:tcPr>
            <w:tcW w:type="dxa" w:w="1701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5669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目标</w:t>
            </w:r>
          </w:p>
        </w:tc>
      </w:tr>
      <w:tr>
        <w:tc>
          <w:tcPr>
            <w:tcW w:type="dxa" w:w="1701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Phase 1</w:t>
            </w:r>
          </w:p>
        </w:tc>
        <w:tc>
          <w:tcPr>
            <w:tcW w:type="dxa" w:w="1701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1-3个月</w:t>
            </w:r>
          </w:p>
        </w:tc>
        <w:tc>
          <w:tcPr>
            <w:tcW w:type="dxa" w:w="5669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接入浙江省医保数据赋能实验室沙箱，脱敏数据验证</w:t>
            </w:r>
          </w:p>
        </w:tc>
      </w:tr>
      <w:tr>
        <w:tc>
          <w:tcPr>
            <w:tcW w:type="dxa" w:w="1701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Phase 2</w:t>
            </w:r>
          </w:p>
        </w:tc>
        <w:tc>
          <w:tcPr>
            <w:tcW w:type="dxa" w:w="1701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3-6个月</w:t>
            </w:r>
          </w:p>
        </w:tc>
        <w:tc>
          <w:tcPr>
            <w:tcW w:type="dxa" w:w="5669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选择1-2个区县试点，覆盖5-10万参保人</w:t>
            </w:r>
          </w:p>
        </w:tc>
      </w:tr>
      <w:tr>
        <w:tc>
          <w:tcPr>
            <w:tcW w:type="dxa" w:w="1701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Phase 3</w:t>
            </w:r>
          </w:p>
        </w:tc>
        <w:tc>
          <w:tcPr>
            <w:tcW w:type="dxa" w:w="1701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6-12个月</w:t>
            </w:r>
          </w:p>
        </w:tc>
        <w:tc>
          <w:tcPr>
            <w:tcW w:type="dxa" w:w="5669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全省推广，依托医保数据要素基础设施</w:t>
            </w:r>
          </w:p>
        </w:tc>
      </w:tr>
    </w:tbl>
    <w:p/>
    <w:p>
      <w:pPr>
        <w:spacing w:line="360" w:lineRule="auto" w:after="120"/>
      </w:pPr>
      <w:r>
        <w:rPr>
          <w:rFonts w:ascii="微软雅黑" w:hAnsi="微软雅黑" w:eastAsia="微软雅黑"/>
          <w:b/>
          <w:color w:val="1F2937"/>
          <w:sz w:val="22"/>
        </w:rPr>
        <w:t>商业模式：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To G：</w:t>
      </w:r>
      <w:r>
        <w:rPr>
          <w:rFonts w:ascii="微软雅黑" w:hAnsi="微软雅黑" w:eastAsia="微软雅黑"/>
          <w:color w:val="1F2937"/>
          <w:sz w:val="22"/>
        </w:rPr>
        <w:t>为医保部门提供智能客服+脑健康筛查服务，降低经办成本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To B：</w:t>
      </w:r>
      <w:r>
        <w:rPr>
          <w:rFonts w:ascii="微软雅黑" w:hAnsi="微软雅黑" w:eastAsia="微软雅黑"/>
          <w:color w:val="1F2937"/>
          <w:sz w:val="22"/>
        </w:rPr>
        <w:t>为商保/药企提供脑健康数据赋能，支撑精准定价</w:t>
      </w:r>
    </w:p>
    <w:p>
      <w:pPr>
        <w:pStyle w:val="ListBullet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To C：</w:t>
      </w:r>
      <w:r>
        <w:rPr>
          <w:rFonts w:ascii="微软雅黑" w:hAnsi="微软雅黑" w:eastAsia="微软雅黑"/>
          <w:color w:val="1F2937"/>
          <w:sz w:val="22"/>
        </w:rPr>
        <w:t>基础脑电评估免费，深度健康管理增值服务付费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七、  团队信息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3C7"/>
            <w:tcBorders>
              <w:top w:val="single" w:sz="4" w:color="F59E0B"/>
              <w:left w:val="single" w:sz="12" w:color="F59E0B"/>
              <w:bottom w:val="single" w:sz="4" w:color="F59E0B"/>
              <w:right w:val="single" w:sz="4" w:color="F59E0B"/>
            </w:tcBorders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9A3412"/>
                <w:sz w:val="22"/>
              </w:rPr>
              <w:t>【需用户填写】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以下信息需参赛者补充真实团队信息。注意：申报书中可填写团队信息，但路演材料中不得出现参赛者身份信息。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color w:val="1A56DB"/>
          <w:sz w:val="24"/>
        </w:rPr>
        <w:t>团队名称：</w:t>
      </w:r>
      <w:r>
        <w:rPr>
          <w:rFonts w:ascii="微软雅黑" w:hAnsi="微软雅黑" w:eastAsia="微软雅黑"/>
          <w:color w:val="1F2937"/>
          <w:sz w:val="22"/>
        </w:rPr>
        <w:t>_________________（请填写）</w:t>
      </w:r>
    </w:p>
    <w:p>
      <w:pPr>
        <w:spacing w:line="360" w:lineRule="auto" w:after="120"/>
      </w:pPr>
      <w:r>
        <w:rPr>
          <w:rFonts w:ascii="微软雅黑" w:hAnsi="微软雅黑" w:eastAsia="微软雅黑"/>
          <w:b/>
          <w:color w:val="1F2937"/>
          <w:sz w:val="22"/>
        </w:rPr>
        <w:t>团队成员：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_____（负责人）：</w:t>
      </w:r>
      <w:r>
        <w:rPr>
          <w:rFonts w:ascii="微软雅黑" w:hAnsi="微软雅黑" w:eastAsia="微软雅黑"/>
          <w:color w:val="1F2937"/>
          <w:sz w:val="22"/>
        </w:rPr>
        <w:t>负责 _____，技术栈 _____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_____（成员）：</w:t>
      </w:r>
      <w:r>
        <w:rPr>
          <w:rFonts w:ascii="微软雅黑" w:hAnsi="微软雅黑" w:eastAsia="微软雅黑"/>
          <w:color w:val="1F2937"/>
          <w:sz w:val="22"/>
        </w:rPr>
        <w:t>负责 _____，技术栈 _____</w:t>
      </w:r>
    </w:p>
    <w:p>
      <w:pPr>
        <w:spacing w:after="120"/>
      </w:pPr>
      <w:r>
        <w:rPr>
          <w:rFonts w:ascii="微软雅黑" w:hAnsi="微软雅黑" w:eastAsia="微软雅黑"/>
          <w:b/>
          <w:color w:val="1A56DB"/>
          <w:sz w:val="24"/>
        </w:rPr>
        <w:t>团队优势：</w:t>
      </w:r>
      <w:r>
        <w:rPr>
          <w:rFonts w:ascii="微软雅黑" w:hAnsi="微软雅黑" w:eastAsia="微软雅黑"/>
          <w:color w:val="1F2937"/>
          <w:sz w:val="22"/>
        </w:rPr>
        <w:t>_________________（请填写团队在BCI/医保/AI领域的能力与经验）</w:t>
      </w:r>
    </w:p>
    <w:p>
      <w:pPr>
        <w:spacing w:after="120"/>
      </w:pPr>
      <w:r>
        <w:rPr>
          <w:rFonts w:ascii="微软雅黑" w:hAnsi="微软雅黑" w:eastAsia="微软雅黑"/>
          <w:b/>
          <w:color w:val="1A56DB"/>
          <w:sz w:val="24"/>
        </w:rPr>
        <w:t>联系方式：</w:t>
      </w:r>
      <w:r>
        <w:rPr>
          <w:rFonts w:ascii="微软雅黑" w:hAnsi="微软雅黑" w:eastAsia="微软雅黑"/>
          <w:color w:val="1F2937"/>
          <w:sz w:val="22"/>
        </w:rPr>
        <w:t>_________________（请填写，仅用于大赛组委会联系，不会出现在路演材料中）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八、  项目成果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6803"/>
            <w:shd w:val="clear" w:color="auto" w:fill="1A56DB"/>
            <w:tcBorders>
              <w:top w:val="single" w:sz="8" w:color="1A56DB"/>
              <w:left w:val="single" w:sz="4" w:color="1A56DB"/>
              <w:bottom w:val="single" w:sz="8" w:color="1A56DB"/>
              <w:right w:val="single" w:sz="4" w:color="1A56DB"/>
            </w:tcBorders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后端API</w:t>
            </w:r>
          </w:p>
        </w:tc>
        <w:tc>
          <w:tcPr>
            <w:tcW w:type="dxa" w:w="6803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30+ 端点（7个Router + EEG模块）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前端页面</w:t>
            </w:r>
          </w:p>
        </w:tc>
        <w:tc>
          <w:tcPr>
            <w:tcW w:type="dxa" w:w="6803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9个（首页/对话/权益/报销/健康/政策/安全/脑电/数据空间）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算法引擎</w:t>
            </w:r>
          </w:p>
        </w:tc>
        <w:tc>
          <w:tcPr>
            <w:tcW w:type="dxa" w:w="6803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4大引擎（报销计算/健康画像/政策匹配/EEG脑电）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智能体</w:t>
            </w:r>
          </w:p>
        </w:tc>
        <w:tc>
          <w:tcPr>
            <w:tcW w:type="dxa" w:w="6803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6个专业Agent + 1个编排器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脑电指标</w:t>
            </w:r>
          </w:p>
        </w:tc>
        <w:tc>
          <w:tcPr>
            <w:tcW w:type="dxa" w:w="6803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8维（含赛道7三大核心）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预警规则</w:t>
            </w:r>
          </w:p>
        </w:tc>
        <w:tc>
          <w:tcPr>
            <w:tcW w:type="dxa" w:w="6803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8条（含赛道7三条核心）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政策联动</w:t>
            </w:r>
          </w:p>
        </w:tc>
        <w:tc>
          <w:tcPr>
            <w:tcW w:type="dxa" w:w="6803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8条（含赛道7三条核心）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单元测试</w:t>
            </w:r>
          </w:p>
        </w:tc>
        <w:tc>
          <w:tcPr>
            <w:tcW w:type="dxa" w:w="6803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151项全绿</w:t>
            </w:r>
          </w:p>
        </w:tc>
      </w:tr>
      <w:tr>
        <w:tc>
          <w:tcPr>
            <w:tcW w:type="dxa" w:w="2268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冒烟测试</w:t>
            </w:r>
          </w:p>
        </w:tc>
        <w:tc>
          <w:tcPr>
            <w:tcW w:type="dxa" w:w="6803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68项全绿</w:t>
            </w:r>
          </w:p>
        </w:tc>
      </w:tr>
      <w:tr>
        <w:tc>
          <w:tcPr>
            <w:tcW w:type="dxa" w:w="2268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医保规则库</w:t>
            </w:r>
          </w:p>
        </w:tc>
        <w:tc>
          <w:tcPr>
            <w:tcW w:type="dxa" w:w="6803"/>
            <w:shd w:val="clear" w:color="auto" w:fill="F0F5FF"/>
            <w:tcBorders>
              <w:top w:val="single" w:sz="2" w:color="D1D5DB"/>
              <w:left w:val="single" w:sz="2" w:color="D1D5DB"/>
              <w:bottom w:val="single" w:sz="2" w:color="D1D5DB"/>
              <w:right w:val="single" w:sz="2" w:color="D1D5DB"/>
            </w:tcBorders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浙江省/杭州市参数（3险种×3级别×门诊住院）</w:t>
            </w:r>
          </w:p>
        </w:tc>
      </w:tr>
    </w:tbl>
    <w:p/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九、  社会价值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范式转变：</w:t>
      </w:r>
      <w:r>
        <w:rPr>
          <w:rFonts w:ascii="微软雅黑" w:hAnsi="微软雅黑" w:eastAsia="微软雅黑"/>
          <w:color w:val="1F2937"/>
          <w:sz w:val="22"/>
        </w:rPr>
        <w:t>推动医保从"被动报销"到"主动健康"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早筛早防：</w:t>
      </w:r>
      <w:r>
        <w:rPr>
          <w:rFonts w:ascii="微软雅黑" w:hAnsi="微软雅黑" w:eastAsia="微软雅黑"/>
          <w:color w:val="1F2937"/>
          <w:sz w:val="22"/>
        </w:rPr>
        <w:t>脑电预警让脑血管病/认知障碍/精神疾病早发现早干预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政策普惠：</w:t>
      </w:r>
      <w:r>
        <w:rPr>
          <w:rFonts w:ascii="微软雅黑" w:hAnsi="微软雅黑" w:eastAsia="微软雅黑"/>
          <w:color w:val="1F2937"/>
          <w:sz w:val="22"/>
        </w:rPr>
        <w:t>让5600万浙江参保人知道并享受到脑健康相关医保待遇</w:t>
      </w:r>
    </w:p>
    <w:p>
      <w:pPr>
        <w:pStyle w:val="ListNumber"/>
        <w:spacing w:line="336" w:lineRule="auto" w:after="80"/>
        <w:ind w:left="420"/>
      </w:pPr>
      <w:r>
        <w:rPr>
          <w:rFonts w:ascii="微软雅黑" w:hAnsi="微软雅黑" w:eastAsia="微软雅黑"/>
          <w:b/>
          <w:color w:val="1A56DB"/>
          <w:sz w:val="22"/>
        </w:rPr>
        <w:t>数据要素价值释放：</w:t>
      </w:r>
      <w:r>
        <w:rPr>
          <w:rFonts w:ascii="微软雅黑" w:hAnsi="微软雅黑" w:eastAsia="微软雅黑"/>
          <w:color w:val="1F2937"/>
          <w:sz w:val="22"/>
        </w:rPr>
        <w:t>BCI数据×医保数据的融合创新示范</w:t>
      </w:r>
    </w:p>
    <w:p>
      <w:pPr>
        <w:spacing w:before="400" w:after="200"/>
        <w:pBdr>
          <w:bottom w:val="single" w:sz="12" w:space="1" w:color="1A56DB"/>
        </w:pBdr>
      </w:pPr>
      <w:r>
        <w:rPr>
          <w:rFonts w:ascii="微软雅黑" w:hAnsi="微软雅黑" w:eastAsia="微软雅黑"/>
          <w:b/>
          <w:color w:val="1A56DB"/>
          <w:sz w:val="36"/>
        </w:rPr>
        <w:t>十、  项目承诺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5FF"/>
            <w:tcBorders>
              <w:top w:val="single" w:sz="4" w:color="1A56DB"/>
              <w:left w:val="single" w:sz="12" w:color="1A56DB"/>
              <w:bottom w:val="single" w:sz="4" w:color="1A56DB"/>
              <w:right w:val="single" w:sz="4" w:color="1A56DB"/>
            </w:tcBorders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9A3412"/>
                <w:sz w:val="22"/>
              </w:rPr>
              <w:t>原创与合规承诺</w:t>
            </w:r>
          </w:p>
          <w:p>
            <w:pPr>
              <w:spacing w:after="0"/>
            </w:pPr>
            <w:r>
              <w:rPr>
                <w:rFonts w:ascii="微软雅黑" w:hAnsi="微软雅黑" w:eastAsia="微软雅黑"/>
                <w:color w:val="1F2937"/>
                <w:sz w:val="21"/>
              </w:rPr>
              <w:t>本项目为原创开发，所使用数据均为脱敏演示数据，不涉及真实参保人隐私。生产部署将严格遵守《个人信息保护法》《数据安全法》及医保数据管理相关规定。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微软雅黑" w:hAnsi="微软雅黑" w:eastAsia="微软雅黑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E7C8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