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0EA5E9"/>
          <w:sz w:val="64"/>
          <w:szCs w:val="64"/>
        </w:rPr>
        <w:t xml:space="preserve">MeetGrow AI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1E293B"/>
          <w:sz w:val="36"/>
          <w:szCs w:val="36"/>
        </w:rPr>
        <w:t xml:space="preserve">会展招商增长智能体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CBD5E1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E293B"/>
          <w:sz w:val="44"/>
          <w:szCs w:val="44"/>
        </w:rPr>
        <w:t xml:space="preserve">产品使用手册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64748B"/>
          <w:sz w:val="24"/>
          <w:szCs w:val="24"/>
        </w:rPr>
        <w:t xml:space="preserve">从 API 配置到方案生成的完整操作指南</w:t>
      </w:r>
    </w:p>
    <w:p>
      <w:pPr>
        <w:spacing w:before="120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4748B"/>
          <w:sz w:val="22"/>
          <w:szCs w:val="22"/>
        </w:rPr>
        <w:t xml:space="preserve">版本：V2.0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4748B"/>
          <w:sz w:val="22"/>
          <w:szCs w:val="22"/>
        </w:rPr>
        <w:t xml:space="preserve">更新日期：2026 年 6 月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4748B"/>
          <w:sz w:val="22"/>
          <w:szCs w:val="22"/>
        </w:rPr>
        <w:t xml:space="preserve">联系方式：</w:t>
      </w: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18969081266</w:t>
      </w:r>
      <w:r>
        <w:rPr>
          <w:rFonts w:ascii="Microsoft YaHei" w:cs="Microsoft YaHei" w:eastAsia="Microsoft YaHei" w:hAnsi="Microsoft YaHei"/>
          <w:color w:val="64748B"/>
          <w:sz w:val="22"/>
          <w:szCs w:val="22"/>
        </w:rPr>
        <w:t xml:space="preserve">（微信/电话）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293B"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293B"/>
          <w:sz w:val="36"/>
          <w:szCs w:val="36"/>
        </w:rPr>
        <w:t xml:space="preserve">一、产品简介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MeetGrow AI 是一款专为</w:t>
      </w: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会展、峰会、沙龙、园区招商、企业培训、行业年会</w:t>
      </w: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等活动场景打造的</w:t>
      </w: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AI招商增长智能体</w:t>
      </w: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。只需输入活动基本信息，AI 将在 1-3 分钟内自动生成涵盖从定位、招商、传播到转化的完整</w:t>
      </w: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11 模块增长闭环方案</w:t>
      </w: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，帮助活动主办方大幅提升招商效率和转化率。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284C7"/>
          <w:sz w:val="28"/>
          <w:szCs w:val="28"/>
        </w:rPr>
        <w:t xml:space="preserve">1.1 核心价值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传统会展招商依赖人工逐个撰写方案、话术、文案，耗时长且质量不稳定。MeetGrow AI 通过深度优化的行业 Prompt 引擎，将冠军级招商团队的方法论沉淀为 AI 可执行的标准流程，实现：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效率提升：</w:t>
      </w: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从数天的人工方案撰写缩短至 1-3 分钟自动生成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质量稳定：</w:t>
      </w: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每次输出都遵循冠军级招商方法论，确保专业度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落地可用：</w:t>
      </w: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每个模块包含具体话术模板、执行清单，拿来即用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灵活适配：</w:t>
      </w: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支持 6 大国产 AI 模型，用户可自主选择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284C7"/>
          <w:sz w:val="28"/>
          <w:szCs w:val="28"/>
        </w:rPr>
        <w:t xml:space="preserve">1.2 产品形态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MeetGrow AI 采用</w:t>
      </w: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单文件 Web 应用</w:t>
      </w: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架构，整个产品为一个独立的 HTML 文件（MeetGrow_AI.html），无需安装任何软件或服务器。用户只需用浏览器打开即可使用，同时也可通过在线链接访问。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E9" w:sz="1"/>
              <w:left w:val="single" w:color="0EA5E9" w:sz="6"/>
              <w:bottom w:val="single" w:color="0EA5E9" w:sz="1"/>
              <w:right w:val="single" w:color="0EA5E9" w:sz="1"/>
            </w:tcBorders>
            <w:shd w:fill="F0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0284C7"/>
                <w:sz w:val="22"/>
                <w:szCs w:val="22"/>
              </w:rPr>
              <w:t xml:space="preserve">在线访问地址</w:t>
            </w:r>
          </w:p>
          <w:p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https://yigenfeng0707-netizen.github.io/meetgrow-ai/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284C7"/>
          <w:sz w:val="28"/>
          <w:szCs w:val="28"/>
        </w:rPr>
        <w:t xml:space="preserve">1.3 支持的 AI 模型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MeetGrow AI 内置 6 种主流国产 AI 模型提供商的预设配置，用户可根据自己的偏好和预算选择：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226"/>
        <w:gridCol w:w="240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服务商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可用模型</w:t>
            </w:r>
          </w:p>
        </w:tc>
        <w:tc>
          <w:tcPr>
            <w:tcW w:type="dxa" w:w="2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推荐模型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特点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通义千问（DashScope）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Qwen Plus / Qwen Max / Qwen Turbo</w:t>
            </w:r>
          </w:p>
        </w:tc>
        <w:tc>
          <w:tcPr>
            <w:tcW w:type="dxa" w:w="2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Qwen Plus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新用户有免费额度，推荐首选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智谱AI（GLM）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GLM-4-Plus / GLM-4 / GLM-4-Flash</w:t>
            </w:r>
          </w:p>
        </w:tc>
        <w:tc>
          <w:tcPr>
            <w:tcW w:type="dxa" w:w="2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GLM-4-Plus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GLM-4-Flash 可免费使用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Moonshot（月之暗面）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Moonshot 32K / 128K / 8K</w:t>
            </w:r>
          </w:p>
        </w:tc>
        <w:tc>
          <w:tcPr>
            <w:tcW w:type="dxa" w:w="2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Moonshot 32K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长文本能力出色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DeepSeek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DeepSeek Chat / Reasoner</w:t>
            </w:r>
          </w:p>
        </w:tc>
        <w:tc>
          <w:tcPr>
            <w:tcW w:type="dxa" w:w="2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DeepSeek Chat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价格极低，性价比高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文心一言（百度千帆）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ERNIE 4.0 / 3.5 / Speed</w:t>
            </w:r>
          </w:p>
        </w:tc>
        <w:tc>
          <w:tcPr>
            <w:tcW w:type="dxa" w:w="2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ERNIE 4.0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需创建应用后获取 Key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自定义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任意 OpenAI 兼容模型</w:t>
            </w:r>
          </w:p>
        </w:tc>
        <w:tc>
          <w:tcPr>
            <w:tcW w:type="dxa" w:w="2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任意 OpenAI 兼容模型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适合接入私有化部署模型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293B"/>
          <w:sz w:val="36"/>
          <w:szCs w:val="36"/>
        </w:rPr>
        <w:t xml:space="preserve">二、快速上手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本章将引导您从零开始使用 MeetGrow AI，整个流程仅需 3 步：获取 API Key → 配置连接 → 生成方案。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284C7"/>
          <w:sz w:val="28"/>
          <w:szCs w:val="28"/>
        </w:rPr>
        <w:t xml:space="preserve">2.1 打开产品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方式一：本地文件</w:t>
      </w: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  双击 MeetGrow_AI.html 文件，浏览器将自动打开产品界面。推荐使用 Chrome、Edge 或 Firefox 浏览器。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方式二：在线访问</w:t>
      </w: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  在浏览器地址栏输入在线地址即可直接使用，无需下载任何文件。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284C7"/>
          <w:sz w:val="28"/>
          <w:szCs w:val="28"/>
        </w:rPr>
        <w:t xml:space="preserve">2.2 获取 API Key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MeetGrow AI 需要连接 AI 大模型才能生成方案。您需要从任一 AI 服务商获取 API Key（类似于账号密码）。</w:t>
      </w: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每位新用户首次注册通常都有免费额度</w:t>
      </w: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，可以零成本试用。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以下分别介绍各服务商的 API Key 获取方法：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通义千问（DashScope）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访问 </w:t>
      </w:r>
      <w:hyperlink w:history="1" r:id="rIduqkjmkoantoke25wl13bz">
        <w:r>
          <w:rPr>
            <w:rStyle w:val="Hyperlink"/>
            <w:rFonts w:ascii="Microsoft YaHei" w:cs="Microsoft YaHei" w:eastAsia="Microsoft YaHei" w:hAnsi="Microsoft YaHei"/>
            <w:sz w:val="22"/>
            <w:szCs w:val="22"/>
          </w:rPr>
          <w:t xml:space="preserve">阿里云 DashScope 控制台</w:t>
        </w:r>
      </w:hyperlink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使用阿里云账号登录（如无账号，先注册一个阿里云账号）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进入「API-KEY 管理」页面，点击「创建新的 API-KEY」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复制生成的 API Key（以 sk- 开头的一串字符）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E9" w:sz="1"/>
              <w:left w:val="single" w:color="0EA5E9" w:sz="6"/>
              <w:bottom w:val="single" w:color="0EA5E9" w:sz="1"/>
              <w:right w:val="single" w:color="0EA5E9" w:sz="1"/>
            </w:tcBorders>
            <w:shd w:fill="F0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0284C7"/>
                <w:sz w:val="22"/>
                <w:szCs w:val="22"/>
              </w:rPr>
              <w:t xml:space="preserve">推荐度：★★★★★</w:t>
            </w:r>
          </w:p>
          <w:p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新用户有免费额度，Qwen Plus 模型性价比最优，是首选推荐方案。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智谱AI（GLM）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访问 </w:t>
      </w:r>
      <w:hyperlink w:history="1" r:id="rIdej6kczu8xv-1cdz39-gbi">
        <w:r>
          <w:rPr>
            <w:rStyle w:val="Hyperlink"/>
            <w:rFonts w:ascii="Microsoft YaHei" w:cs="Microsoft YaHei" w:eastAsia="Microsoft YaHei" w:hAnsi="Microsoft YaHei"/>
            <w:sz w:val="22"/>
            <w:szCs w:val="22"/>
          </w:rPr>
          <w:t xml:space="preserve">智谱AI开放平台</w:t>
        </w:r>
      </w:hyperlink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注册/登录智谱AI账号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进入「API Keys」页面，点击「创建 API Key」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复制生成的 API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E9" w:sz="1"/>
              <w:left w:val="single" w:color="0EA5E9" w:sz="6"/>
              <w:bottom w:val="single" w:color="0EA5E9" w:sz="1"/>
              <w:right w:val="single" w:color="0EA5E9" w:sz="1"/>
            </w:tcBorders>
            <w:shd w:fill="F0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0284C7"/>
                <w:sz w:val="22"/>
                <w:szCs w:val="22"/>
              </w:rPr>
              <w:t xml:space="preserve">推荐度：★★★★☆</w:t>
            </w:r>
          </w:p>
          <w:p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GLM-4-Flash 模型可免费使用，适合入门体验。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Moonshot（月之暗面）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访问 </w:t>
      </w:r>
      <w:hyperlink w:history="1" r:id="rId9ldpwtrokyditmbcmmwlf">
        <w:r>
          <w:rPr>
            <w:rStyle w:val="Hyperlink"/>
            <w:rFonts w:ascii="Microsoft YaHei" w:cs="Microsoft YaHei" w:eastAsia="Microsoft YaHei" w:hAnsi="Microsoft YaHei"/>
            <w:sz w:val="22"/>
            <w:szCs w:val="22"/>
          </w:rPr>
          <w:t xml:space="preserve">Moonshot 开放平台</w:t>
        </w:r>
      </w:hyperlink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注册/登录 Moonshot 账号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进入 API Key 管理页面，创建新的 Key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复制 API Key 备用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E9" w:sz="1"/>
              <w:left w:val="single" w:color="0EA5E9" w:sz="6"/>
              <w:bottom w:val="single" w:color="0EA5E9" w:sz="1"/>
              <w:right w:val="single" w:color="0EA5E9" w:sz="1"/>
            </w:tcBorders>
            <w:shd w:fill="F0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0284C7"/>
                <w:sz w:val="22"/>
                <w:szCs w:val="22"/>
              </w:rPr>
              <w:t xml:space="preserve">推荐度：★★★★☆</w:t>
            </w:r>
          </w:p>
          <w:p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长文本处理能力出色，适合需要生成非常详细方案的场景。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DeepSeek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访问 </w:t>
      </w:r>
      <w:hyperlink w:history="1" r:id="rIdevrogeu1y4o4dvgf2tfpb">
        <w:r>
          <w:rPr>
            <w:rStyle w:val="Hyperlink"/>
            <w:rFonts w:ascii="Microsoft YaHei" w:cs="Microsoft YaHei" w:eastAsia="Microsoft YaHei" w:hAnsi="Microsoft YaHei"/>
            <w:sz w:val="22"/>
            <w:szCs w:val="22"/>
          </w:rPr>
          <w:t xml:space="preserve">DeepSeek 开放平台</w:t>
        </w:r>
      </w:hyperlink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注册/登录 DeepSeek 账号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创建 API Key 并复制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E9" w:sz="1"/>
              <w:left w:val="single" w:color="0EA5E9" w:sz="6"/>
              <w:bottom w:val="single" w:color="0EA5E9" w:sz="1"/>
              <w:right w:val="single" w:color="0EA5E9" w:sz="1"/>
            </w:tcBorders>
            <w:shd w:fill="F0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0284C7"/>
                <w:sz w:val="22"/>
                <w:szCs w:val="22"/>
              </w:rPr>
              <w:t xml:space="preserve">推荐度：★★★★★</w:t>
            </w:r>
          </w:p>
          <w:p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价格极低（约为通义千问的 1/10），综合能力强，性价比之王。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文心一言（百度千帆）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访问 </w:t>
      </w:r>
      <w:hyperlink w:history="1" r:id="rId3orn6onmh39vbexnmyyjr">
        <w:r>
          <w:rPr>
            <w:rStyle w:val="Hyperlink"/>
            <w:rFonts w:ascii="Microsoft YaHei" w:cs="Microsoft YaHei" w:eastAsia="Microsoft YaHei" w:hAnsi="Microsoft YaHei"/>
            <w:sz w:val="22"/>
            <w:szCs w:val="22"/>
          </w:rPr>
          <w:t xml:space="preserve">百度千帆控制台</w:t>
        </w:r>
      </w:hyperlink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登录百度智能云账号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创建一个应用，获取对应的 API Key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复制 API Key 备用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E9" w:sz="1"/>
              <w:left w:val="single" w:color="0EA5E9" w:sz="6"/>
              <w:bottom w:val="single" w:color="0EA5E9" w:sz="1"/>
              <w:right w:val="single" w:color="0EA5E9" w:sz="1"/>
            </w:tcBorders>
            <w:shd w:fill="F0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0284C7"/>
                <w:sz w:val="22"/>
                <w:szCs w:val="22"/>
              </w:rPr>
              <w:t xml:space="preserve">推荐度：★★★☆☆</w:t>
            </w:r>
          </w:p>
          <w:p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需要创建应用后才能获取 Key，步骤稍多，但 ERNIE 4.0 模型质量不错。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自定义模型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如果您有私有化部署的大模型（如 ChatGLM、Llama 等），只要提供 OpenAI 兼容的 API 接口，就可以通过「自定义」选项接入。您需要填写自定义的 Base URL、模型名称和 API Key。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284C7"/>
          <w:sz w:val="28"/>
          <w:szCs w:val="28"/>
        </w:rPr>
        <w:t xml:space="preserve">2.3 配置 API 连接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获取到 API Key 后，需要在 MeetGrow AI 中进行配置：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点击页面左下角的</w:t>
      </w: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「⚙️ 设置」</w:t>
      </w: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按钮，或直接点击顶部状态栏的</w:t>
      </w: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「未连接」</w:t>
      </w: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指示器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在弹出的设置面板中，选择</w:t>
      </w: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AI 服务商</w:t>
      </w: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（如通义千问、DeepSeek 等）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将获取到的</w:t>
      </w: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 API Key </w:t>
      </w: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粘贴到输入框中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选择</w:t>
      </w: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模型版本</w:t>
      </w: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（推荐使用带有「推荐」标签的模型）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点击</w:t>
      </w: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「保存设置」</w:t>
      </w: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按钮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保存成功后，页面顶部状态栏将显示</w:t>
      </w: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绿色「已连接」</w:t>
      </w: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标识，表示 API 配置成功。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E9" w:sz="1"/>
              <w:left w:val="single" w:color="0EA5E9" w:sz="6"/>
              <w:bottom w:val="single" w:color="0EA5E9" w:sz="1"/>
              <w:right w:val="single" w:color="0EA5E9" w:sz="1"/>
            </w:tcBorders>
            <w:shd w:fill="F0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0284C7"/>
                <w:sz w:val="22"/>
                <w:szCs w:val="22"/>
              </w:rPr>
              <w:t xml:space="preserve">安全提示</w:t>
            </w:r>
          </w:p>
          <w:p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您的 API Key 仅保存在您自己的浏览器本地存储中，不会上传到任何服务器。请放心使用。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293B"/>
          <w:sz w:val="36"/>
          <w:szCs w:val="36"/>
        </w:rPr>
        <w:t xml:space="preserve">三、生成招商增长方案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284C7"/>
          <w:sz w:val="28"/>
          <w:szCs w:val="28"/>
        </w:rPr>
        <w:t xml:space="preserve">3.1 填写活动信息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在「新建方案」页面，您需要填写活动的基本信息。以下是各字段的说明：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26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字段名称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说明与填写建议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活动名称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DC2626"/>
                <w:sz w:val="20"/>
                <w:szCs w:val="20"/>
              </w:rPr>
              <w:t xml:space="preserve">必填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您的活动全称，如「2026企业AI落地增长峰会」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活动类型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DC2626"/>
                <w:sz w:val="20"/>
                <w:szCs w:val="20"/>
              </w:rPr>
              <w:t xml:space="preserve">必填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选择活动形式：大会/峰会、沙龙/论坛、培训会、园区活动等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目标受众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DC2626"/>
                <w:sz w:val="20"/>
                <w:szCs w:val="20"/>
              </w:rPr>
              <w:t xml:space="preserve">必填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描述您希望吸引的参会人群，如「传统企业老板、AI创业者、投资人」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活动规模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DC2626"/>
                <w:sz w:val="20"/>
                <w:szCs w:val="20"/>
              </w:rPr>
              <w:t xml:space="preserve">必填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预期参会人数范围，如「500-1000人」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核心目标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DC2626"/>
                <w:sz w:val="20"/>
                <w:szCs w:val="20"/>
              </w:rPr>
              <w:t xml:space="preserve">必填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活动的核心商业目标，如「招商赞助、门票销售、私域沉淀」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补充说明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64748B"/>
                <w:sz w:val="20"/>
                <w:szCs w:val="20"/>
              </w:rPr>
              <w:t xml:space="preserve">选填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任何额外要求或特殊说明，如「需要有现场签约环节」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284C7"/>
          <w:sz w:val="28"/>
          <w:szCs w:val="28"/>
        </w:rPr>
        <w:t xml:space="preserve">3.2 快速模板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为了节省填写时间，产品内置了 4 种常见活动场景的快速模板。点击对应模板按钮，系统将自动填入示例数据，您可以在此基础上修改：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AI峰会</w:t>
      </w: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 —— 适用于 AI/科技类大会、峰会场景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园区招商</w:t>
      </w: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 —— 适用于产业园、科技园招商推介会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培训会</w:t>
      </w: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 —— 适用于企业培训、实战训练营场景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沙龙/论坛</w:t>
      </w: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 —— 适用于小型私享会、行业沙龙场景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284C7"/>
          <w:sz w:val="28"/>
          <w:szCs w:val="28"/>
        </w:rPr>
        <w:t xml:space="preserve">3.3 选择输出模块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在表单下方，您可以看到 11 个输出模块的勾选列表。默认情况下所有模块均已勾选，系统将生成完整的 11 模块方案。您也可以根据需要取消勾选部分模块，仅生成需要的内容。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但为了获得最佳效果，建议保持全部模块勾选，让 AI 生成完整的增长闭环方案。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284C7"/>
          <w:sz w:val="28"/>
          <w:szCs w:val="28"/>
        </w:rPr>
        <w:t xml:space="preserve">3.4 开始生成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确认信息无误后，点击页面底部的</w:t>
      </w: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「🚀 生成招商增长方案」</w:t>
      </w: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按钮。系统将：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将您的活动信息发送给 AI 模型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AI 实时流式输出方案内容（您会看到文字逐字出现）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系统自动解析输出内容，分配到对应的模块标签页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如果 AI 输出不完整，系统将自动发起续传请求，补全缺失模块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整个生成过程通常需要</w:t>
      </w: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 1-3 分钟</w:t>
      </w: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，具体时间取决于所选模型和网络速度。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293B"/>
          <w:sz w:val="36"/>
          <w:szCs w:val="36"/>
        </w:rPr>
        <w:t xml:space="preserve">四、11 大输出模块详解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MeetGrow AI 生成的招商增长方案包含 11 个核心模块，覆盖活动从策划到成交的全链路。以下是每个模块的详细说明：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6826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模块名称</w:t>
            </w:r>
          </w:p>
        </w:tc>
        <w:tc>
          <w:tcPr>
            <w:tcW w:type="dxa" w:w="6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模块说明与核心内容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🎯 大会定位</w:t>
            </w:r>
          </w:p>
        </w:tc>
        <w:tc>
          <w:tcPr>
            <w:tcW w:type="dxa" w:w="6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明确活动的核心价值主张、差异化定位和市场切入点。包含：目标市场定位分析、竞品活动对比、独特价值主张提炼、品牌调性定义。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👥 目标客户画像</w:t>
            </w:r>
          </w:p>
        </w:tc>
        <w:tc>
          <w:tcPr>
            <w:tcW w:type="dxa" w:w="6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精准描绘目标参会人群的特征画像。包含：行业/职位/收入等人口统计特征、核心痛点与需求分析、决策路径与参会动机、触达渠道偏好。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💎 核心卖点</w:t>
            </w:r>
          </w:p>
        </w:tc>
        <w:tc>
          <w:tcPr>
            <w:tcW w:type="dxa" w:w="6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提炼活动最核心的吸引力要素。包含：3-5个核心卖点提炼、每个卖点的FAB（特征-优势-利益）话术、不同受众的差异化卖点匹配。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🤝 招商合作方案</w:t>
            </w:r>
          </w:p>
        </w:tc>
        <w:tc>
          <w:tcPr>
            <w:tcW w:type="dxa" w:w="6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设计多层次的赞助合作体系。包含：冠名/钻石/金牌/银牌等赞助层级设计、各层级权益清单与定价、招商PPT核心页面内容、赞助商ROI测算。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📋 赞助权益设计</w:t>
            </w:r>
          </w:p>
        </w:tc>
        <w:tc>
          <w:tcPr>
            <w:tcW w:type="dxa" w:w="6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量化赞助商投入产出比。包含：曝光量/线索量/签约量等KPI承诺、权益兑现清单、赞助商权益对比表、赞助协议核心条款。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🎤 嘉宾邀约话术</w:t>
            </w:r>
          </w:p>
        </w:tc>
        <w:tc>
          <w:tcPr>
            <w:tcW w:type="dxa" w:w="6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高转化率的嘉宾和演讲者邀约方案。包含：目标嘉宾画像与优先级排序、邀约话术模板（电话/微信/邮件）、跟进节奏与时间线、拒绝应对话术。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📱 朋友圈文案</w:t>
            </w:r>
          </w:p>
        </w:tc>
        <w:tc>
          <w:tcPr>
            <w:tcW w:type="dxa" w:w="6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系列化社交媒体传播素材。包含：预热期/爆发期/收尾期分阶段文案、图文模板（至少10条朋友圈文案）、传播节奏排期表、互动引导话术。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🎬 短视频脚本</w:t>
            </w:r>
          </w:p>
        </w:tc>
        <w:tc>
          <w:tcPr>
            <w:tcW w:type="dxa" w:w="6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短视频内容创作完整方案。包含：选题矩阵（至少5个视频主题）、视频脚本模板、拍摄与剪辑建议、发布平台与推广策略。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💬 社群运营SOP</w:t>
            </w:r>
          </w:p>
        </w:tc>
        <w:tc>
          <w:tcPr>
            <w:tcW w:type="dxa" w:w="6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社群从建立到转化的全流程操作手册。包含：社群搭建与入群流程、每日内容运营排期、互动活动策划方案、从免费群到付费群的转化路径。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📊 客户分层跟进</w:t>
            </w:r>
          </w:p>
        </w:tc>
        <w:tc>
          <w:tcPr>
            <w:tcW w:type="dxa" w:w="6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ABC三级客户分层跟进体系。包含：客户分级标准与标签体系、各层级跟进频率与话术、重点客户1v1跟进方案、线索流转与分配机制。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💰 会后成交话术</w:t>
            </w:r>
          </w:p>
        </w:tc>
        <w:tc>
          <w:tcPr>
            <w:tcW w:type="dxa" w:w="6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活动结束后的转化成交方案。包含：会后48小时黄金跟进流程、不同类型客户的话术模板、异议处理与逼单技巧、成交后的转介绍激励方案。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E9" w:sz="1"/>
              <w:left w:val="single" w:color="0EA5E9" w:sz="6"/>
              <w:bottom w:val="single" w:color="0EA5E9" w:sz="1"/>
              <w:right w:val="single" w:color="0EA5E9" w:sz="1"/>
            </w:tcBorders>
            <w:shd w:fill="F0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0284C7"/>
                <w:sz w:val="22"/>
                <w:szCs w:val="22"/>
              </w:rPr>
              <w:t xml:space="preserve">提示</w:t>
            </w:r>
          </w:p>
          <w:p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每个模块都包含「具体分析 + 话术模板 + 执行清单」三部分，确保方案可以直接落地执行。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293B"/>
          <w:sz w:val="36"/>
          <w:szCs w:val="36"/>
        </w:rPr>
        <w:t xml:space="preserve">五、使用方案结果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284C7"/>
          <w:sz w:val="28"/>
          <w:szCs w:val="28"/>
        </w:rPr>
        <w:t xml:space="preserve">5.1 浏览方案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生成完成后，系统会自动切换到「当前方案」页面。页面顶部显示活动名称和生成时间，下方是标签页导航，点击不同的标签页即可查看对应模块的内容。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每个模块的内容都经过 Markdown 格式化渲染，包含清晰的标题层级、加粗重点、引用话术等，方便阅读和理解。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284C7"/>
          <w:sz w:val="28"/>
          <w:szCs w:val="28"/>
        </w:rPr>
        <w:t xml:space="preserve">5.2 复制内容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每个模块的右上角都有一个</w:t>
      </w: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「📋 复制」</w:t>
      </w: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按钮，点击即可将该模块的完整内容复制到剪贴板，方便粘贴到微信、飞书、Word 等工具中使用。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284C7"/>
          <w:sz w:val="28"/>
          <w:szCs w:val="28"/>
        </w:rPr>
        <w:t xml:space="preserve">5.3 导出方案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页面顶部提供了多种导出选项：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导出 Word</w:t>
      </w: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 —— 生成 .docx 文件，适合正式文档和打印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导出 Markdown</w:t>
      </w: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 —— 生成 .md 文件，适合技术团队和在线协作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导出 PDF</w:t>
      </w: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 —— 通过浏览器打印功能生成 PDF 文件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打印方案</w:t>
      </w: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 —— 直接调用浏览器打印功能，打印全部模块内容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284C7"/>
          <w:sz w:val="28"/>
          <w:szCs w:val="28"/>
        </w:rPr>
        <w:t xml:space="preserve">5.4 方案对比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如果您生成了多个方案，可以使用「方案对比」功能。在左侧导航中点击「方案对比」，选择两个历史方案进行并排对比，方便找出不同方案的优劣差异。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293B"/>
          <w:sz w:val="36"/>
          <w:szCs w:val="36"/>
        </w:rPr>
        <w:t xml:space="preserve">六、历史方案管理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284C7"/>
          <w:sz w:val="28"/>
          <w:szCs w:val="28"/>
        </w:rPr>
        <w:t xml:space="preserve">6.1 查看历史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所有生成过的方案都会自动保存在浏览器本地存储中。您可以通过以下方式查看历史方案：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左侧导航栏的「历史方案」页面，以卡片形式展示所有方案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左侧边栏底部的「历史记录」列表，按时间倒序排列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284C7"/>
          <w:sz w:val="28"/>
          <w:szCs w:val="28"/>
        </w:rPr>
        <w:t xml:space="preserve">6.2 加载与管理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点击任意历史方案卡片或历史记录条目，即可加载该方案到「当前方案」页面查看详细内容。您也可以：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删除方案</w:t>
      </w: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：在历史记录条目上悬停，点击出现的删除按钮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选择对比</w:t>
      </w: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：在历史方案页面勾选两个方案，进入对比模式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E9" w:sz="1"/>
              <w:left w:val="single" w:color="0EA5E9" w:sz="6"/>
              <w:bottom w:val="single" w:color="0EA5E9" w:sz="1"/>
              <w:right w:val="single" w:color="0EA5E9" w:sz="1"/>
            </w:tcBorders>
            <w:shd w:fill="F0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0284C7"/>
                <w:sz w:val="22"/>
                <w:szCs w:val="22"/>
              </w:rPr>
              <w:t xml:space="preserve">注意</w:t>
            </w:r>
          </w:p>
          <w:p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历史方案保存在浏览器本地存储中。清除浏览器数据会导致历史记录丢失，建议对重要方案及时导出备份。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293B"/>
          <w:sz w:val="36"/>
          <w:szCs w:val="36"/>
        </w:rPr>
        <w:t xml:space="preserve">七、订阅与激活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284C7"/>
          <w:sz w:val="28"/>
          <w:szCs w:val="28"/>
        </w:rPr>
        <w:t xml:space="preserve">7.1 免费试用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每位用户可以</w:t>
      </w: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免费试用 3 次</w:t>
      </w: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完整的方案生成功能，无需任何付费即可体验产品的全部能力。试用次数用完后，系统会提示激活产品。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284C7"/>
          <w:sz w:val="28"/>
          <w:szCs w:val="28"/>
        </w:rPr>
        <w:t xml:space="preserve">7.2 个人版订阅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价格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284C7"/>
                <w:sz w:val="20"/>
                <w:szCs w:val="20"/>
              </w:rPr>
              <w:t xml:space="preserve">¥3,999 / 年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有效期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自激活之日起 365 天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使用次数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有效期内无限次使用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功能范围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全部 11 模块、所有导出功能、方案对比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购买方式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联系微信/电话：18969081266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284C7"/>
          <w:sz w:val="28"/>
          <w:szCs w:val="28"/>
        </w:rPr>
        <w:t xml:space="preserve">7.3 激活步骤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获取激活码后，按以下步骤激活：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在弹出的激活界面中输入激活码（格式为 </w:t>
      </w: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MG-XXXX-XXXX-XXXX</w:t>
      </w: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），点击「激活」按钮即可完成激活。激活后，产品将在 365 天内无限次使用。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E9" w:sz="1"/>
              <w:left w:val="single" w:color="0EA5E9" w:sz="6"/>
              <w:bottom w:val="single" w:color="0EA5E9" w:sz="1"/>
              <w:right w:val="single" w:color="0EA5E9" w:sz="1"/>
            </w:tcBorders>
            <w:shd w:fill="F0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0284C7"/>
                <w:sz w:val="22"/>
                <w:szCs w:val="22"/>
              </w:rPr>
              <w:t xml:space="preserve">企业团购</w:t>
            </w:r>
          </w:p>
          <w:p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5 人以上团购享 8 折优惠，20 人以上享 7 折优惠，详情请联系 18969081266。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293B"/>
          <w:sz w:val="36"/>
          <w:szCs w:val="36"/>
        </w:rPr>
        <w:t xml:space="preserve">八、常见问题（FAQ）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284C7"/>
          <w:sz w:val="28"/>
          <w:szCs w:val="28"/>
        </w:rPr>
        <w:t xml:space="preserve">Q1：API Key 是什么？安全吗？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API Key 是 AI 服务商提供的访问凭证，类似于密码。MeetGrow AI 仅将 API Key 保存在您浏览器的本地存储中，</w:t>
      </w: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不会上传到任何服务器</w:t>
      </w: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，安全性与您在其他网站保存密码相同。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284C7"/>
          <w:sz w:val="28"/>
          <w:szCs w:val="28"/>
        </w:rPr>
        <w:t xml:space="preserve">Q2：生成一次方案要花多少钱？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不同模型的定价不同。以 DeepSeek 为例，生成一次完整 11 模块方案大约消耗 1-2 万 tokens，费用约为</w:t>
      </w: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 0.01-0.05 元</w:t>
      </w: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（不到一毛钱）。通义千问和智谱 AI 的新用户免费额度通常可以生成数十次方案。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284C7"/>
          <w:sz w:val="28"/>
          <w:szCs w:val="28"/>
        </w:rPr>
        <w:t xml:space="preserve">Q3：方案生成不完整怎么办？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MeetGrow AI 内置了自动续传机制。如果 AI 输出中途停止或遗漏了某些模块，系统会自动检测缺失的模块并发起续传请求，确保最终输出完整的 11 个模块。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284C7"/>
          <w:sz w:val="28"/>
          <w:szCs w:val="28"/>
        </w:rPr>
        <w:t xml:space="preserve">Q4：可以用在商业项目中吗？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可以。MeetGrow AI 生成的所有方案内容均可自由用于商业项目，无版权限制。产品本身需要购买个人版订阅后才能持续使用。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284C7"/>
          <w:sz w:val="28"/>
          <w:szCs w:val="28"/>
        </w:rPr>
        <w:t xml:space="preserve">Q5：支持手机端使用吗？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支持。MeetGrow AI 采用响应式设计，在手机浏览器中也能正常使用。但由于方案内容较多，建议使用电脑或平板获得更好的阅读体验。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284C7"/>
          <w:sz w:val="28"/>
          <w:szCs w:val="28"/>
        </w:rPr>
        <w:t xml:space="preserve">Q6：数据会泄露吗？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您的所有数据（API Key、活动信息、生成的方案）都保存在浏览器本地，</w:t>
      </w: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不会上传到任何第三方服务器</w:t>
      </w: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。唯一的外部通信是向您选择的 AI 服务商发送活动信息以生成方案。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284C7"/>
          <w:sz w:val="28"/>
          <w:szCs w:val="28"/>
        </w:rPr>
        <w:t xml:space="preserve">Q7：清除浏览器数据会怎样？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清除浏览器数据（Cookie/本地存储）会导致 API Key 配置、历史方案和激活状态丢失。建议定期导出重要方案作为备份。如果激活码丢失，请联系客服恢复。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284C7"/>
          <w:sz w:val="28"/>
          <w:szCs w:val="28"/>
        </w:rPr>
        <w:t xml:space="preserve">Q8：可以接入自己部署的大模型吗？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可以。在设置中选择「自定义」服务商，填入您私有化部署模型的 Base URL、模型名称和 API Key 即可。前提是该模型提供 OpenAI 兼容的 API 接口。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293B"/>
          <w:sz w:val="36"/>
          <w:szCs w:val="36"/>
        </w:rPr>
        <w:t xml:space="preserve">九、联系我们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如果您在使用过程中遇到任何问题，或需要购买激活码、企业团购，欢迎通过以下方式联系我们：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联系方式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微信/电话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284C7"/>
                <w:sz w:val="20"/>
                <w:szCs w:val="20"/>
              </w:rPr>
              <w:t xml:space="preserve">18969081266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在线体验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https://yigenfeng0707-netizen.github.io/meetgrow-ai/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Microsoft YaHei" w:cs="Microsoft YaHei" w:eastAsia="Microsoft YaHei" w:hAnsi="Microsoft YaHei"/>
          <w:color w:val="64748B"/>
          <w:sz w:val="22"/>
          <w:szCs w:val="22"/>
        </w:rPr>
        <w:t xml:space="preserve">- END 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4748B"/>
        <w:sz w:val="18"/>
        <w:szCs w:val="18"/>
      </w:rPr>
      <w:t xml:space="preserve">- </w:t>
    </w:r>
    <w:r>
      <w:rPr>
        <w:rFonts w:ascii="Microsoft YaHei" w:cs="Microsoft YaHei" w:eastAsia="Microsoft YaHei" w:hAnsi="Microsoft YaHe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4748B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64748B"/>
        <w:sz w:val="18"/>
        <w:szCs w:val="18"/>
      </w:rPr>
      <w:t xml:space="preserve">MeetGrow AI 产品使用手册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0284C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uqkjmkoantoke25wl13bz" Type="http://schemas.openxmlformats.org/officeDocument/2006/relationships/hyperlink" Target="https://dashscope.console.aliyun.com/apiKey" TargetMode="External"/><Relationship Id="rIdej6kczu8xv-1cdz39-gbi" Type="http://schemas.openxmlformats.org/officeDocument/2006/relationships/hyperlink" Target="https://open.bigmodel.cn/usercenter/apikeys" TargetMode="External"/><Relationship Id="rId9ldpwtrokyditmbcmmwlf" Type="http://schemas.openxmlformats.org/officeDocument/2006/relationships/hyperlink" Target="https://platform.moonshot.cn/console/api-keys" TargetMode="External"/><Relationship Id="rIdevrogeu1y4o4dvgf2tfpb" Type="http://schemas.openxmlformats.org/officeDocument/2006/relationships/hyperlink" Target="https://platform.deepseek.com/api_keys" TargetMode="External"/><Relationship Id="rId3orn6onmh39vbexnmyyjr" Type="http://schemas.openxmlformats.org/officeDocument/2006/relationships/hyperlink" Target="https://console.bce.baidu.com/qianfan/ais/console/applicationConsole/application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2026-06-03T01:53:18.446Z</dcterms:created>
  <dcterms:modified xsi:type="dcterms:W3CDTF">2026-06-03T01:53:18.452Z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