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T E C H N I C A L   P R O P O S A L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PMTEC 数字孪生战场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系统技术方案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盟友基地体系政治韧性数字孪生 · DTC2026 赛道二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文档版本：V3.0（P18 评审整改后）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编制单位：根深叶茂团队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编制日期：2026 年 10 月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信息截至：2026-09（CRS R47589 / DoD FY2024 BSR）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根深叶茂团队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PMTEC · DTC2026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摘  要</w:t>
      </w:r>
      <w:bookmarkEnd w:id="100000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本方案阐述 PMTEC 数字孪生战场系统的总体设计、关键机制与量化验证。系统面向印太战区盟友基地体系，将政治准入建模为仿真状态机并纳入 ASDA 闭环，构建了从 67 实体权威数据底座（逐字段溯源 CRS 与国防部 FY2024 报告）、深度强化学习决策（219 维观测）到 OWL 2 DL 本体语义层（HermiT 推理、SHACL 双向校验、D-S 置信、PROV-O 溯源）的完整体系。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量化验证：三场景拦截率对照 76.2%→79.0%→79.1%（政治约束引入后不降反稳），概率校准 Brier 分数 0.1128，十万次敏感性采样最差可用率 95.5%；必答五问全部实跑作答——定向打掉 30% 节点体系价值保留率 28.8%（红方代价 100-160 发），敏感性排序以政治不确定性强度居首，交换比 4.79 发/突防。工程侧 157 次提交、26 个测试文件、CI 六阶段全绿、第三方接入自测 14/14、演示中心公网部署断网可用。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本方案的全部数字均可由仓库脚本一键复现，复现方法与端到端日志样例随交付包提供。</w:t>
      </w:r>
      <w:r>
        <w:br w:type="page"/>
      </w: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摘  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一、项目概述与问题定义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问题定义：政治拒止下的体系韧性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DTB 模型四组件映射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二、总体架构设计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技术栈选型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三、数据工程与权威底座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权威实体库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数量口径与置信度分级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四、核心机制设计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ASDA 四相位闭环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 政治准入状态机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4.3 智能决策层级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五、量化验证与效能评估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 三场景拦截率对照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5.2 失效场景与红方资源代价（必答一）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5.3 打掉 30% 节点的体系保留率（必答二）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5.4 敏感性参数排序（必答三）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5.5 交换比（必答四）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5.6 政治约束与体系韧性的成立边界（必答五）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六、本体语义层与知识工程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 TO 五元组本体与机器校验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 语义工具层与本体工作台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七、工程实现与质量保障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7.1 开发过程与规模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7.2 质量门禁与负载实测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八、部署方案与运维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九、风险分析与演进路线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十、结论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eastAsia="SimSun"/>
          <w:i/>
          <w:iCs/>
          <w:color w:val="888888"/>
          <w:sz w:val="18"/>
          <w:szCs w:val="18"/>
        </w:rPr>
        <w:t xml:space="preserve">注：本目录由域代码生成。文档编辑后如需刷新页码，请在目录上右键选择「更新域 → 更新整个目录」。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一、项目概述与问题定义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1.1 问题定义：政治拒止下的体系韧性</w:t>
      </w:r>
      <w:bookmarkEnd w:id="100002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PMTEC（Pacific Multi-domain Training and Experimentation Capability，印太多域训练与实验能力）数字孪生战场系统，回答一个传统仿真系统未曾覆盖的问题：当对手不开一枪、仅通过政治手段使盟国拒绝提供基地使用权时，防空体系的作战韧性如何演化、如何保障。该问题源于印太战区的现实威胁图景——前沿基地体系高度依赖东道国准入，而政治拒止（灰色地带施压、主权打击胁迫）可以在不触发热战的情况下掏空体系前沿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本项目将政治准入作为仿真状态机的一等公民纳入闭环，而不是一句背景设定。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每个盟友站点具有 Open / Restricted / Denied 三态，政治事件注入后当周期即响应；决策侧 DQN 的 219 维观测显式包含每个站点的准入容量因子，部署优化器将政治风险敞口作为 Pareto 第六目标显式压制。体系在政治拒止下的表现可概括为：引入政治约束后拦截率不降反稳——三场景对照为 76.2% → 79.0% → 79.1%，这是本方案最具颠覆性的独立判断（详见第五章）。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1.2 DTB 模型四组件映射</w:t>
      </w:r>
      <w:bookmarkEnd w:id="100003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系统严格按照数字孪生战场（DTB）模型的四组件规格完成映射，并以 433 行 protobuf 接口契约固化：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1：DTB 四组件映射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230"/>
        <w:gridCol w:w="2109"/>
        <w:gridCol w:w="3339"/>
        <w:gridCol w:w="2109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规格要求</w:t>
            </w:r>
          </w:p>
        </w:tc>
        <w:tc>
          <w:tcPr>
            <w:tcW w:type="pct" w:w="19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本系统实现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关键证据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作战引擎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仿真推演驱动 ASDA 闭环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PMTECEngine 每 10 秒完整执行 Act-Sense-Decide-Adapt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grpc_server / 仿真报告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战斗网络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传感器聚合分析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Kalman 滤波 + JPDA 多源航迹融合，67 节点战斗网络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track.py / 融合报告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应用商店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能力模块化热加载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PluginManager + REST 网关 + DQN 推理服务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dt_platform / 28 端点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即插即用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标准接口互操作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gRPC 4 服务（433 行 proto）+ REST Maven 契约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proto / 契约清单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三级交付齐备：第一级 ASDA 算法原型（GIS 标绘与仿真验证），第二级基地部署优化工程（可运行的优化器与三指标实测），第三级 PMTEC 系统（本项目主体，157 次提交、167 个 Python 文件、约 4.3 万行代码，32 天完成）。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二、总体架构设计</w:t>
      </w:r>
      <w:bookmarkEnd w:id="100004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系统采用六层架构，自下而上依次为数据与基础设施层、仿真引擎层、孪生服务层、本体语义层、智能决策层和应用与展示层。层间通过 gRPC/REST/WebSocket 三通道解耦，任一层的替换不影响相邻层（本体语义层保持模型无关，展示层与引擎可独立重部署）。</w:t>
      </w:r>
    </w:p>
    <w:p>
      <w:pPr>
        <w:spacing w:before="120"/>
        <w:jc w:val="center"/>
      </w:pPr>
      <w:r>
        <w:drawing>
          <wp:inline distT="0" distB="0" distL="0" distR="0">
            <wp:extent cx="5524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1：PMTEC 系统六层总体架构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2.1 技术栈选型</w:t>
      </w:r>
      <w:bookmarkEnd w:id="100005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仿真引擎与深度强化学习基于 Python（PyTorch CPU 推理，训练期可切 XPU/GPU）；服务接口采用 gRPC（4 服务）与 REST（28 端点，OpenAPI 全量文档化）；实时推送采用 WebSocket（每 ASDA 周期广播，10 Hz 上限，环形回放缓冲）；持久化采用 SQLite WAL 模式（实测 58,228 写入/秒）；编排采用 Docker Compose 双容器（引擎 + 展示中心 nginx），安全层实现 JWT 会话与三级角色 RBAC（observer / operator / commander）。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三、数据工程与权威底座</w:t>
      </w:r>
      <w:bookmarkEnd w:id="100006"/>
    </w:p>
    <w:p>
      <w:pPr>
        <w:pStyle w:val="Heading2"/>
        <w:spacing w:after="120" w:before="240" w:line="312"/>
      </w:pPr>
      <w:bookmarkStart w:id="100007" w:name="_Toc100007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3.1 权威实体库</w:t>
      </w:r>
      <w:bookmarkEnd w:id="100007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数据底座为 67 个印太基地实体、34 个字段，逐字段可溯源：坐标与基地清单溯源至美国国会研究处报告 CRS R47589 Table A-1 与国防部 FY2024 Base Structure Report，兵力参数按 CRS IF12175 校准，政治参数定性依据 RAND RRA967-2。字段级来源、覆盖数与示例由数据字典生成器实跑再生（scripts/generate_data_dictionary.py），承诺「重跑即再生，数字不手填」。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3.2 数量口径与置信度分级</w:t>
      </w:r>
      <w:bookmarkEnd w:id="100008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为杜绝多口径打架，系统在 README 中维护全仓唯一口径权威表，并由 caliber_check.py 脚本在 CI 中做防漂移自检。核心口径如下：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2：基地数量口径权威表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055"/>
        <w:gridCol w:w="4042"/>
        <w:gridCol w:w="3691"/>
      </w:tblGrid>
      <w:tr>
        <w:trPr>
          <w:cantSplit/>
          <w:tblHeader/>
        </w:trPr>
        <w:tc>
          <w:tcPr>
            <w:tcW w:type="pct" w:w="6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数字</w:t>
            </w:r>
          </w:p>
        </w:tc>
        <w:tc>
          <w:tcPr>
            <w:tcW w:type="pct" w:w="23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权威定义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使用位置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67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印太基地实体总数（v2 权威库，CRS+FY2024 双源）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一级标绘、本体层、DoDAF 投影、档案、部署优化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引擎实时推演口径（v1 库；P6/P12 观测维度与训练模型锚定）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引擎 REST/WS 实时推演、Monte Carlo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引擎政治准入盟友站点（澳日菲韩 4 东道国；推演中 5/7/3 分布）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P10 政治状态机、AI 参谋官报告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v2 权威库 host_nation 计数（分析管线口径）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韧性分析、必答五问实验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45/21/1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置信度四级标注：A 多源核验 / A- v1 沿用 / B 降级（Tinian）/ D 待核验（留白）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P14 置信层、基地档案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全部实体、置信与溯源数据信息截至 2026-09（CRS R47589 与 DoD FY2024 BSR），后续源更新以提交历史留痕刷新。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四、核心机制设计</w:t>
      </w:r>
      <w:bookmarkEnd w:id="100009"/>
    </w:p>
    <w:p>
      <w:pPr>
        <w:pStyle w:val="Heading2"/>
        <w:spacing w:after="120" w:before="240" w:line="312"/>
      </w:pPr>
      <w:bookmarkStart w:id="100010" w:name="_Toc100010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4.1 ASDA 四相位闭环</w:t>
      </w:r>
      <w:bookmarkEnd w:id="100010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仿真主循环以 10 秒为周期完整执行 Act（打击/部署动作）- Sense（传感器检测与航迹融合）- Decide（DQN 拦截决策与 C2 指令）- Adapt（疏散重构与策略反哺）四相位。SPEAR 事件流逐周期记录全部状态迁移，实测单次运行产生 22 类事件共 1,506 条，与 DoDAF OV-3 信息交换矩阵 22 行逐行对账，构成机器可校验的追溯链。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4.2 政治准入状态机</w:t>
      </w:r>
      <w:bookmarkEnd w:id="100011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政治准入模型（P10）以盟友站点为粒度维护三态状态机：FULL（全面准入）、RESTRICTED（有限准入，容量折减）、DENIED（准入被拒，不可用）。状态迁移由三类事件驱动：灰色地带行动（渐进施压）、主权打击（急剧胁迫）、再保证（恢复修复）。主权打击链回放实测：灰色地带两轮加压后主权打击落地，9 个盟友站点被拒止，可用基地从 67 收缩至 58；引擎实时推演口径下（22 站、15 盟友站点）拒止 3 站、可用 19/22，与实机 REST 接口及 AI 参谋官报告逐字一致。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4.3 智能决策层级</w:t>
      </w:r>
      <w:bookmarkEnd w:id="100012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3：AI 决策层级（建议位与执行位分离）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703"/>
        <w:gridCol w:w="1758"/>
        <w:gridCol w:w="2285"/>
        <w:gridCol w:w="2285"/>
        <w:gridCol w:w="1758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算法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训练规模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UCB1 / Q-Learning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传感器动态选择、自适应对策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在线学习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执行位（资源调度）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L2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DQN (SB3)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ASDA 拦截/分散决策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200K 步 + 课程学习，219 维观测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建议位，经指挥链 RBAC 审批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IQL / MADDPG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多智能体协同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6K 步，MADDPG avg_reward 1138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建议位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L4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 参谋官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态势报告生成、决策建议书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模型可替换（HTTP 接入）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纯建议位，无执行权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AI 参谋官的失效行为分级降级：未配置 API Key 时接口返回 503（预期降级，主仿真链路零影响）；其提示词由代码模板拼装，用户输入不进入提示词（无提示词注入面）；输出不回写仿真状态，幻觉最坏后果是一份被驳回的建议书。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五、量化验证与效能评估</w:t>
      </w:r>
      <w:bookmarkEnd w:id="100013"/>
    </w:p>
    <w:p>
      <w:pPr>
        <w:pStyle w:val="Heading2"/>
        <w:spacing w:after="120" w:before="240" w:line="312"/>
      </w:pPr>
      <w:bookmarkStart w:id="100014" w:name="_Toc100014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5.1 三场景拦截率对照</w:t>
      </w:r>
      <w:bookmarkEnd w:id="100014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拦截率结论建立在三场景隔离对照之上：场景 A（原 22 站、182 维 P6 模型）76.2%，场景 B（v2 权威数据升级）79.0%——第一段 +2.8 个百分点纯粹来自数据权威化，与模型无关；场景 C（叠加政治准入与 219 维观测）79.1%——政治约束全量引入后不降反稳。基准口径 79.1% 来自六策略 150 episodes Monte Carlo（CI 78.0-80.2%），概率预测校准证据 Brier 分数 0.1128（35 个真实判定样本）。</w:t>
      </w:r>
    </w:p>
    <w:p>
      <w:pPr>
        <w:spacing w:before="120"/>
        <w:jc w:val="center"/>
      </w:pPr>
      <w:r>
        <w:drawing>
          <wp:inline distT="0" distB="0" distL="0" distR="0">
            <wp:extent cx="5334000" cy="34575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2：三场景拦截率对照（误差棒为 95% 置信区间）</w:t>
      </w:r>
    </w:p>
    <w:p>
      <w:pPr>
        <w:pStyle w:val="Heading2"/>
        <w:spacing w:after="120" w:before="240" w:line="312"/>
      </w:pPr>
      <w:bookmarkStart w:id="100015" w:name="_Toc100015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5.2 失效场景与红方资源代价（必答一）</w:t>
      </w:r>
      <w:bookmarkEnd w:id="10001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4：三类失效场景与红方代价（全实跑，MC n=20,000）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2988"/>
        <w:gridCol w:w="1406"/>
        <w:gridCol w:w="1318"/>
        <w:gridCol w:w="1494"/>
        <w:gridCol w:w="1582"/>
      </w:tblGrid>
      <w:tr>
        <w:trPr>
          <w:cantSplit/>
          <w:tblHeader/>
        </w:trPr>
        <w:tc>
          <w:tcPr>
            <w:tcW w:type="pct" w:w="1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失效场景</w:t>
            </w:r>
          </w:p>
        </w:tc>
        <w:tc>
          <w:tcPr>
            <w:tcW w:type="pct" w:w="8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红方弹药代价</w:t>
            </w:r>
          </w:p>
        </w:tc>
        <w:tc>
          <w:tcPr>
            <w:tcW w:type="pct" w:w="7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价值保留率</w:t>
            </w:r>
          </w:p>
        </w:tc>
        <w:tc>
          <w:tcPr>
            <w:tcW w:type="pct" w:w="8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实体保留率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拒止站点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S1 政治拒止（灰色地带→主权打击链）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发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99.8%</w:t>
            </w:r>
          </w:p>
        </w:tc>
        <w:tc>
          <w:tcPr>
            <w:tcW w:type="pct" w:w="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86.6%（58/67）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 站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S2 动能定向打掉 30%（PAE 优先序）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100–160 发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28.8%</w:t>
            </w:r>
          </w:p>
        </w:tc>
        <w:tc>
          <w:tcPr>
            <w:tcW w:type="pct" w:w="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70.2%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含 Tier-1 枢纽 14 座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S3 复合（政治拒止+对剩余集定向 30%）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85–136 发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38.1%</w:t>
            </w:r>
          </w:p>
        </w:tc>
        <w:tc>
          <w:tcPr>
            <w:tcW w:type="pct" w:w="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61.2%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 站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政治拒止拒掉的是低价值盟友前沿站点——价值口径仅损失 0.2%，计数口径损失 13.4%：政治战咬掉的是存在感与前沿容量，而非资产重置价值。这解释了 P13 的核心发现（政治约束未击穿体系韧性），同时提示纯价值口径会低估政治战威力。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5.3 打掉 30% 节点的体系保留率（必答二）</w:t>
      </w:r>
      <w:bookmarkEnd w:id="100016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随机移除 30% 节点（k=20），体系价值保留率均值 70.1%（90% 区间 59.6%-80.0%）；按杀伤网 PAE 优先序定向移除 30%，保留率骤降至 28.8%——体系对随机毁伤存在大数冗余，对定向打点高度脆弱。定向曲线在移除 20%-30% 区间出现价值腰斩拐点，保护 Tier-1 枢纽是体系设计第一优先级。</w:t>
      </w:r>
    </w:p>
    <w:p>
      <w:pPr>
        <w:spacing w:before="120"/>
        <w:jc w:val="center"/>
      </w:pPr>
      <w:r>
        <w:drawing>
          <wp:inline distT="0" distB="0" distL="0" distR="0">
            <wp:extent cx="5334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3：节点移除曲线（随机 vs 定向，阴影为随机 90% 区间）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5.4 敏感性参数排序（必答三）</w:t>
      </w:r>
      <w:bookmarkEnd w:id="100017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对五类参数做单因素扫描，按相对响应度（每单位参数的因变量相对变化，中位归一）排序：准入基线扰动 σ 居首（10.0），其后依次为拦截率水平（4.57）、定向移除规模 k（3.66）、主权打击强度（0.12）与 m(Denied) 政治先验（0.078）。结论：体系稳健性的主战场在不确定性管理，而非单点参数精调。</w:t>
      </w:r>
    </w:p>
    <w:p>
      <w:pPr>
        <w:spacing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4：敏感性参数响应度排序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5.5 交换比（必答四）</w:t>
      </w:r>
      <w:bookmarkEnd w:id="100018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防空拦截口径下，体系每放进一枚突防，红方付出 4.79 发（六策略区间 4.46-5.15，150 episodes 实测）；齐射场景红方 4 波 21 弹头对蓝方零战果（出动 156 架次全保存、损失率 0.0%）；对红方最有利的动能定向口径为 100-160 发换 20 座基地。三类交换比口径必须分开陈述，混用即误导。</w:t>
      </w:r>
    </w:p>
    <w:p>
      <w:pPr>
        <w:spacing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5：六策略交换比对比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5.6 政治约束与体系韧性的成立边界（必答五）</w:t>
      </w:r>
      <w:bookmarkEnd w:id="100019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政治约束未击穿体系韧性，但韧性来自重构适应而非不受影响，结论有可复算的成立边界：10,000 次准入扰动下可用率均值 99.78%、最低 95.52%；置信层对 m(Denied) 先验单参数扰动稳健（0.10→0.40 时 Bel(Open) 仅从 0.7784 降至 0.7600，判决不翻转），冲突系数 K 从 0.075 线性升至 0.300 逼近 0.7 拒合成阈；真正的翻转机制在推理层——单基地状态断言改写即可由 HermiT 推理机自动重分类（Misawa 翻转测试，LaunchCapable 67→66）。</w:t>
      </w:r>
    </w:p>
    <w:p>
      <w:pPr>
        <w:spacing w:before="120"/>
        <w:jc w:val="center"/>
      </w:pPr>
      <w:r>
        <w:drawing>
          <wp:inline distT="0" distB="0" distL="0" distR="0">
            <wp:extent cx="5334000" cy="34766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6：m(Denied) 翻转边界扫描（D-S 置信层独立复算）</w:t>
      </w:r>
    </w:p>
    <w:p>
      <w:pPr>
        <w:pStyle w:val="Heading1"/>
        <w:spacing w:after="160" w:before="360" w:line="312"/>
      </w:pPr>
      <w:bookmarkStart w:id="100020" w:name="_Toc100020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六、本体语义层与知识工程</w:t>
      </w:r>
      <w:bookmarkEnd w:id="100020"/>
    </w:p>
    <w:p>
      <w:pPr>
        <w:pStyle w:val="Heading2"/>
        <w:spacing w:after="120" w:before="240" w:line="312"/>
      </w:pPr>
      <w:bookmarkStart w:id="100021" w:name="_Toc100021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6.1 TO 五元组本体与机器校验</w:t>
      </w:r>
      <w:bookmarkEnd w:id="100021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目标特性本体（T1）以 OWL 2 DL 表达：67 个基地实体按四子类互斥分类，16 条跑道与 3 类准入状态共 86 实体；类定义公理 AirBase ≡ ∃hasPart.Runway 与 LaunchCapable ≡ ∃hasAccessState.(Open ⊔ Restricted) 驱动自动归类。机器校验三层：HermiT 描述逻辑一致性证明（翻转测试实测）；pySHACL 正负样本双向校验（负样本三注入：删军种码、纬度 999、缺状态断言，全部报警命中）；D-S 证据理论置信合成（精度分级 mass 与准入类型 mass 的 Dempster 组合，冲突系数 K&lt;0.08 零拒绝）。全部断言接入 PROV-O 溯源图 643 三元组，逐断言回指权威源。</w:t>
      </w:r>
    </w:p>
    <w:p>
      <w:pPr>
        <w:spacing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7：67 基地 Bel(Open) 置信分布（按精度分级着色）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6.2 语义工具层与本体工作台</w:t>
      </w:r>
      <w:bookmarkEnd w:id="100022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语义工具层（P17）提供 browse / resolve / manifest 三个只读函数：四类语义对象 term 85 / mapping 16 / constraint 3 / evidence 71 可子串检索，个体全档案含类型、属性、适用约束、Bel/Pl 区间与证据源。提示词只注入 manifest 轻量清单，其余语义按需检索。本体工作台页面将类层级树、检索台、置信分布与决策链路审计聚合为单文件自包含页（111KB，断网可用），对标商业本体平台的画布交互范式。</w:t>
      </w:r>
    </w:p>
    <w:p>
      <w:pPr>
        <w:pStyle w:val="Heading1"/>
        <w:spacing w:after="160" w:before="360" w:line="312"/>
      </w:pPr>
      <w:bookmarkStart w:id="100023" w:name="_Toc100023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七、工程实现与质量保障</w:t>
      </w:r>
      <w:bookmarkEnd w:id="100023"/>
    </w:p>
    <w:p>
      <w:pPr>
        <w:pStyle w:val="Heading2"/>
        <w:spacing w:after="120" w:before="240" w:line="312"/>
      </w:pPr>
      <w:bookmarkStart w:id="100024" w:name="_Toc100024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7.1 开发过程与规模</w:t>
      </w:r>
      <w:bookmarkEnd w:id="100024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系统自 2026-09-05 启动，32 天内完成 157 次提交（git log 实测），P1 至 P18 十八个阶段逐日留痕。全部产物由脚本链生成：删掉输出目录重跑仍能得到一致结果。</w:t>
      </w:r>
    </w:p>
    <w:p>
      <w:pPr>
        <w:spacing w:before="120"/>
        <w:jc w:val="center"/>
      </w:pPr>
      <w:r>
        <w:drawing>
          <wp:inline distT="0" distB="0" distL="0" distR="0">
            <wp:extent cx="5334000" cy="26193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图 8：开发提交时间线（git log 实测）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7.2 质量门禁与负载实测</w:t>
      </w:r>
      <w:bookmarkEnd w:id="10002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5：工程质量指标汇总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230"/>
        <w:gridCol w:w="2461"/>
        <w:gridCol w:w="5097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14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实测值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测试文件 / 断言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 个测试文件；本体 21 + DoDAF 26 + 语义工具 15 + 五问 20 + Web 认证 26 等纳入 CI 门禁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CI/CD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GitHub Actions 阶段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Lint → Unit → Docker Build → Security → Push 全绿（Run 37413697749 等）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负载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SQLite WAL / gRPC / 引擎并发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58,228 wps / 188.6 RPS（全级别 errors=0）/ 386.6 QPS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内存治理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2GB ECS 长时推演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快照限长 240 条 + compose mem_limit 固化，RSS 平台期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坐标防护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引擎统一出口 _coord_check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经度归一化 [-180,180)，6000 仿真秒 0 误拒 0 越界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会话与接口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JWT + 三级 RBAC + auth_request 门禁；口令摘要不落盘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第三方可接入性以独立进程自测脚本实证：以第三方身份（仅走公开通道）完成登录、状态拉取、坐标独立复核、WS 订阅、分析触发与孪生注册全链路，带门禁引擎上 14/14 通过，证据文件随交付包提供。</w:t>
      </w:r>
    </w:p>
    <w:p>
      <w:pPr>
        <w:pStyle w:val="Heading1"/>
        <w:spacing w:after="160" w:before="360" w:line="312"/>
      </w:pPr>
      <w:bookmarkStart w:id="100026" w:name="_Toc100026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八、部署方案与运维</w:t>
      </w:r>
      <w:bookmarkEnd w:id="100026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6：部署架构与运维要点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230"/>
        <w:gridCol w:w="3515"/>
        <w:gridCol w:w="4042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方案</w:t>
            </w:r>
          </w:p>
        </w:tc>
        <w:tc>
          <w:tcPr>
            <w:tcW w:type="pct" w:w="23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部署形态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阿里云 ECS 2GB + Docker Compose 双容器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引擎容器（mem_limit 1200m）+ 展示中心 nginx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入口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8888 演示中心 / 8080 REST / 8765 WebSocket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nginx auth_request 会话门禁，同源 /api 与 /ws 反代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离线自包含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2250 张印太瓦片入卷 + 浏览器端天文计算夜半球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零外部数据源，断网可用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复现包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一键复现脚本 + 端到端日志样例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依赖体检→口径自检→数据字典再生→五问实跑→验收测试，全绿实录入包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安全网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 4 小时定时重启引擎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内存护栏；重启窗口内 REST 短暂不可达属预期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演示视频 V3（314 秒）由渲染管线全自动生成：神经旁白、词级同步字幕、程序化配乐，画面 100% 来自运行中的公网系统，含失效沙盘、政治拒止边界、参谋官降级与断网离线四个失败与边界段落；页面更新后重跑脚本即可再生，属可持续产能而非一次性手工作品。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九、风险分析与演进路线</w:t>
      </w:r>
      <w:bookmarkEnd w:id="10002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 7：风险与演进路线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406"/>
        <w:gridCol w:w="3515"/>
        <w:gridCol w:w="3867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现状与风险</w:t>
            </w:r>
          </w:p>
        </w:tc>
        <w:tc>
          <w:tcPr>
            <w:tcW w:type="pct" w:w="22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缓解 / 路线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本体演化闭环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演化机制（轨迹诊断→归因→类型化补丁→配对评估门禁）已立项未开跑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P17 计划赛后启动；当前以「发布即冻结、机器可校验」口径如实陈述，未做不说做完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多模型网关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 参谋官单模型直连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语义层保持模型无关；网关化改造列为赛后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观测维度锚定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DQN 观测与 22 站推演口径绑定，67 站需重训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口径权威表显式区分；67 站负载已全绿验证（58,228 wps）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跨引擎校准样本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Brier 分数基于 35 个单场景判定样本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同步层持续累积跨场景在线校准计数，诚实口径优先</w:t>
            </w:r>
          </w:p>
        </w:tc>
      </w:tr>
    </w:tbl>
    <w:p>
      <w:pPr>
        <w:spacing w:after="120"/>
      </w:pP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演进路线遵循最小完备性红线：本体宁小勿大，堆砌扣分；权威本体保持模型无关、标准格式（OWL 2 DL / Turtle），可导入任意第三方本体平台。</w:t>
      </w:r>
    </w:p>
    <w:p>
      <w:pPr>
        <w:pStyle w:val="Heading1"/>
        <w:spacing w:after="160" w:before="360" w:line="312"/>
      </w:pPr>
      <w:bookmarkStart w:id="100028" w:name="_Toc100028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十、结论</w:t>
      </w:r>
      <w:bookmarkEnd w:id="100028"/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PMTEC 系统在 32 天内完成了从权威数据底座、政治准入状态机、深度强化学习决策到本体语义层的全链路数字孪生体系构建，并以机器可校验的方式回答了五个必答问题：失效场景分级可量化（政治拒止 0 弹咬掉前沿存在感，定向 30% 打击价值保留率 28.8% 且有 5.04 发/突防的代价交叉验证）；敏感性排序明确（不确定性强度居首）；交换比三类口径分列；政治韧性的独立判断成立且有可复算边界。工程侧 157 次提交、26 个测试文件、CI 六阶段全绿与第三方接入自测 14/14，构成可复现、可审计、可交付的完整证据链。适应优于压制——用真实世界数据让数字孪生更真，用政治不确定性让对抗更聪明。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4"/>
      </w:pBdr>
      <w:jc w:val="center"/>
    </w:pPr>
    <w:r>
      <w:rPr>
        <w:rFonts w:eastAsia="SimSun"/>
        <w:color w:val="808080"/>
        <w:sz w:val="18"/>
        <w:szCs w:val="18"/>
      </w:rPr>
      <w:t xml:space="preserve">PMTEC 数字孪生战场系统技术方案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4"/>
      </w:pBdr>
      <w:jc w:val="center"/>
    </w:pPr>
    <w:r>
      <w:rPr>
        <w:rFonts w:eastAsia="SimSun"/>
        <w:color w:val="808080"/>
        <w:sz w:val="18"/>
        <w:szCs w:val="18"/>
      </w:rPr>
      <w:t xml:space="preserve">PMTEC 数字孪生战场系统技术方案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fb56e82b954c9e2c9401527e01430bfbd2d8704.png"/><Relationship Id="rId12" Type="http://schemas.openxmlformats.org/officeDocument/2006/relationships/image" Target="media/d24ddc5fa9a84875d0b63200ca0538b894719ef5.png"/><Relationship Id="rId13" Type="http://schemas.openxmlformats.org/officeDocument/2006/relationships/image" Target="media/eb55e0ab1857be61ae512fdd1d8e32aa42dd9508.png"/><Relationship Id="rId14" Type="http://schemas.openxmlformats.org/officeDocument/2006/relationships/image" Target="media/dd07ed3c572039d58ec714f4b03d7a632519e65f.png"/><Relationship Id="rId15" Type="http://schemas.openxmlformats.org/officeDocument/2006/relationships/image" Target="media/ba7e6a24b0f8ae70532bfe002f782ed33057b6aa.png"/><Relationship Id="rId16" Type="http://schemas.openxmlformats.org/officeDocument/2006/relationships/image" Target="media/6be62e2cc8917719c5e079493e1f726a8f8addf9.png"/><Relationship Id="rId17" Type="http://schemas.openxmlformats.org/officeDocument/2006/relationships/image" Target="media/bc244f381db8cda932d868bc0d5d24cb1a5527c4.png"/><Relationship Id="rId18" Type="http://schemas.openxmlformats.org/officeDocument/2006/relationships/image" Target="media/e5adbde595fe5c75f29d9ac0685825cddd2c3df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2026-10-06T05:12:56.893Z</dcterms:created>
  <dcterms:modified xsi:type="dcterms:W3CDTF">2026-10-06T05:12:56.895Z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