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生产级测试报告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QuantInsight Pro · 交付前全量验证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生产 Demo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https://quantinsight.cn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ECS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47.76.46.88 · CentOS 7.9 · Python 3.9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本地测试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Windows · pytest · streamlit_app/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测试日期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2026-07-07 19:04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二、自动化测试结果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40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测试套件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test_backtest_engine.py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7+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PASS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test_data_pipeline.py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14+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14+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PASS</w:t>
            </w:r>
          </w:p>
        </w:tc>
      </w:tr>
      <w:tr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ALL PASSED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三、生产健康检查项</w:t>
      </w:r>
    </w:p>
    <w:p>
      <w:pPr>
        <w:pStyle w:val="ListBullet"/>
      </w:pPr>
      <w:r>
        <w:rPr>
          <w:rFonts w:ascii="微软雅黑" w:hAnsi="微软雅黑" w:eastAsia="微软雅黑"/>
          <w:b/>
        </w:rPr>
        <w:t>Streamlit 健康端点：</w:t>
      </w:r>
      <w:r>
        <w:rPr>
          <w:rFonts w:ascii="微软雅黑" w:hAnsi="微软雅黑" w:eastAsia="微软雅黑"/>
        </w:rPr>
        <w:t>/_stcore/health → ok</w:t>
      </w:r>
    </w:p>
    <w:p>
      <w:pPr>
        <w:pStyle w:val="ListBullet"/>
      </w:pPr>
      <w:r>
        <w:rPr>
          <w:rFonts w:ascii="微软雅黑" w:hAnsi="微软雅黑" w:eastAsia="微软雅黑"/>
          <w:b/>
        </w:rPr>
        <w:t>Nginx 反向代理：</w:t>
      </w:r>
      <w:r>
        <w:rPr>
          <w:rFonts w:ascii="微软雅黑" w:hAnsi="微软雅黑" w:eastAsia="微软雅黑"/>
        </w:rPr>
        <w:t>443 → 8501</w:t>
      </w:r>
    </w:p>
    <w:p>
      <w:pPr>
        <w:pStyle w:val="ListBullet"/>
      </w:pPr>
      <w:r>
        <w:rPr>
          <w:rFonts w:ascii="微软雅黑" w:hAnsi="微软雅黑" w:eastAsia="微软雅黑"/>
          <w:b/>
        </w:rPr>
        <w:t>systemd 自启动：</w:t>
      </w:r>
      <w:r>
        <w:rPr>
          <w:rFonts w:ascii="微软雅黑" w:hAnsi="微软雅黑" w:eastAsia="微软雅黑"/>
        </w:rPr>
        <w:t>quantinsight.service enabled</w:t>
      </w:r>
    </w:p>
    <w:p>
      <w:pPr>
        <w:pStyle w:val="ListBullet"/>
      </w:pPr>
      <w:r>
        <w:rPr>
          <w:rFonts w:ascii="微软雅黑" w:hAnsi="微软雅黑" w:eastAsia="微软雅黑"/>
          <w:b/>
        </w:rPr>
        <w:t>管理员引导：</w:t>
      </w:r>
      <w:r>
        <w:rPr>
          <w:rFonts w:ascii="微软雅黑" w:hAnsi="微软雅黑" w:eastAsia="微软雅黑"/>
        </w:rPr>
        <w:t>admin.bootstrap_admin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回测引擎：</w:t>
      </w:r>
      <w:r>
        <w:rPr>
          <w:rFonts w:ascii="微软雅黑" w:hAnsi="微软雅黑" w:eastAsia="微软雅黑"/>
        </w:rPr>
        <w:t>MIT License · T35 修正指标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四、POC 回测核心指标（T35 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多因子策略</w:t>
            </w:r>
          </w:p>
        </w:tc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买入持有基准</w:t>
            </w:r>
          </w:p>
        </w:tc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超额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年化收益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8.56%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5.46%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+3.1%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夏普比率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最大回撤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-38.33%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-72.3%</w:t>
            </w:r>
          </w:p>
        </w:tc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改善33.97%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回测区间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2015-01-01 ~ 2026-06-05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11.4年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akshare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注：T30 早期报告多因子年化 19.22% 为引擎 bug，T35 已修正为 8.56%，以 t35_hs300_summary.json 为准。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