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Executive Summary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一页纸 · QuantInsight Pro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项目定位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是面向专业机构投资者的新一代资管科技平台，业内首家将 SHAP 可解释性深度集成到 A 股智能选股流程，整合另类数据、AI 投研智能体与 MIT 开源回测引擎。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核心价值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量化价值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投研效率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智能选股 + AI 问答，效率提升 65%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可解释性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SHAP 归因，满足算法备案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回测验证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HS300 11.4 年，多因子年化 8.56%，夏普 0.63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商业落地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永字资管战略合作已签署，9 类机构 SaaS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团队与融资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669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背景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CEO/主讲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产品战略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CTO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架构与部署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产品/数据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数据与 UX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量化/运营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梁理智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策略与交付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推荐单位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薛永再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杭州永字资管法定代表人 · 场外顾问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联系方式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Demo：https://quantinsight.cn · GitHub：yigenfeng0707-netizen/quantinsight-pro</w:t>
        <w:br/>
        <w:t>冯亦根 ceo@quantinsight.cn · 王宇寒 cto@quantinsight.cn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