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0A0E27"/>
          <w:sz w:val="44"/>
        </w:rPr>
        <w:t>技术方案白皮书</w:t>
      </w:r>
    </w:p>
    <w:p>
      <w:pPr>
        <w:jc w:val="center"/>
      </w:pPr>
      <w:r>
        <w:rPr>
          <w:color w:val="666666"/>
          <w:sz w:val="18"/>
        </w:rPr>
        <w:t>项目编号 2026FINTECH-FINT-0093 · AFAC2026 初创组 · 2026年07月07日</w:t>
      </w:r>
    </w:p>
    <w:p/>
    <w:p>
      <w:pPr>
        <w:pStyle w:val="Heading1"/>
      </w:pPr>
      <w:r>
        <w:rPr>
          <w:rFonts w:ascii="微软雅黑" w:hAnsi="微软雅黑" w:eastAsia="微软雅黑"/>
          <w:color w:val="0A0E27"/>
        </w:rPr>
        <w:t>QuantInsight Pro 技术白皮书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版本：V1.0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日期：2026 年 6 月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项目编号：2026FINTECH-FINT-0093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作者团队：慧点资本 (InsightQuant) 量化研究部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摘要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QuantInsight Pro 是面向中国资管行业的下一代智能投研平台，旨在通过 大语言模型 (LLM)、另类数据 (Alternative Data) 和 严谨的量化方法学 三大技术支柱，解决中小型私募和券商资管的"研究效率低、数据门槛高、合规风险大"三大长期痛点。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本白皮书详细阐述平台的技术架构、核心算法、性能指标、安全合规设计和未来路线图，为评委、投资人和潜在客户提供完整的技术尽职调查参考。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目录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1. [产品定位与设计目标](#1)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2. [整体技术架构](#2)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3. [核心模块详解](#3)</w:t>
      </w:r>
    </w:p>
    <w:p>
      <w:pPr>
        <w:pStyle w:val="ListBullet"/>
      </w:pPr>
      <w:r>
        <w:rPr>
          <w:rFonts w:ascii="微软雅黑" w:hAnsi="微软雅黑" w:eastAsia="微软雅黑"/>
        </w:rPr>
        <w:t>3.1 数据层</w:t>
      </w:r>
    </w:p>
    <w:p>
      <w:pPr>
        <w:pStyle w:val="ListBullet"/>
      </w:pPr>
      <w:r>
        <w:rPr>
          <w:rFonts w:ascii="微软雅黑" w:hAnsi="微软雅黑" w:eastAsia="微软雅黑"/>
        </w:rPr>
        <w:t>3.2 量化引擎</w:t>
      </w:r>
    </w:p>
    <w:p>
      <w:pPr>
        <w:pStyle w:val="ListBullet"/>
      </w:pPr>
      <w:r>
        <w:rPr>
          <w:rFonts w:ascii="微软雅黑" w:hAnsi="微软雅黑" w:eastAsia="微软雅黑"/>
        </w:rPr>
        <w:t>3.3 AI 智能问答</w:t>
      </w:r>
    </w:p>
    <w:p>
      <w:pPr>
        <w:pStyle w:val="ListBullet"/>
      </w:pPr>
      <w:r>
        <w:rPr>
          <w:rFonts w:ascii="微软雅黑" w:hAnsi="微软雅黑" w:eastAsia="微软雅黑"/>
        </w:rPr>
        <w:t>3.4 另类数据看板</w:t>
      </w:r>
    </w:p>
    <w:p>
      <w:pPr>
        <w:pStyle w:val="ListBullet"/>
      </w:pPr>
      <w:r>
        <w:rPr>
          <w:rFonts w:ascii="微软雅黑" w:hAnsi="微软雅黑" w:eastAsia="微软雅黑"/>
        </w:rPr>
        <w:t>3.5 风控与审计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4. [关键算法](#4)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5. [性能与可靠性](#5)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6. [安全与合规设计](#6)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7. [部署架构](#7)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8. [API 设计示例](#8)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9. [测试与质量保证](#9)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10. [技术路线图](#10)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11. [附录](#11)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1. 产品定位与设计目标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1.1 目标客户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客户类型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规模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需求特征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中小型私募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5-50 亿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缺数据/缺 IT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★★★★★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券商资管/自营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100-1000 亿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需合规/可审计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★★★★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银行理财子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1000 亿+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需定制/高安全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FOF/MOM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50-500 亿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需归因/尽调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★★★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大型公募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1000 亿+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需数据丰富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★★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00D4FF"/>
        </w:rPr>
        <w:t>1.2 设计目标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1. 性能：单次回测 &lt; 5 分钟（5 年数据，全市场股票）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2. 可用性：SLA 99.95%（年停机 &lt; 4.4 小时）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3. 合规性：完整审计日志 + 监管报告接口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4. 可扩展：模块化设计，单组件可独立升级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5. 易用性：自然语言交互，零代码用户也能上手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6. 可解释性：每个 AI 输出附带数据源标签和置信度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1.3 非目标 (Non-Goals)</w:t>
      </w:r>
    </w:p>
    <w:p>
      <w:pPr>
        <w:pStyle w:val="ListBullet"/>
      </w:pPr>
      <w:r>
        <w:rPr>
          <w:rFonts w:ascii="微软雅黑" w:hAnsi="微软雅黑" w:eastAsia="微软雅黑"/>
        </w:rPr>
        <w:t>❌ **不做实盘交易接口**：保持"研究工具"定位</w:t>
      </w:r>
    </w:p>
    <w:p>
      <w:pPr>
        <w:pStyle w:val="ListBullet"/>
      </w:pPr>
      <w:r>
        <w:rPr>
          <w:rFonts w:ascii="微软雅黑" w:hAnsi="微软雅黑" w:eastAsia="微软雅黑"/>
        </w:rPr>
        <w:t>❌ **不做投顾业务**：不出具投资建议</w:t>
      </w:r>
    </w:p>
    <w:p>
      <w:pPr>
        <w:pStyle w:val="ListBullet"/>
      </w:pPr>
      <w:r>
        <w:rPr>
          <w:rFonts w:ascii="微软雅黑" w:hAnsi="微软雅黑" w:eastAsia="微软雅黑"/>
        </w:rPr>
        <w:t>❌ **不做高频策略**：定位中低频量化研究</w:t>
      </w:r>
    </w:p>
    <w:p>
      <w:pPr>
        <w:pStyle w:val="ListBullet"/>
      </w:pPr>
      <w:r>
        <w:rPr>
          <w:rFonts w:ascii="微软雅黑" w:hAnsi="微软雅黑" w:eastAsia="微软雅黑"/>
        </w:rPr>
        <w:t>❌ **不做全市场实时行情**：聚焦日级/周级数据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2. 整体技术架构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2.1 分层架构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┌─────────────────────────────────────────────────────────┐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应用层 (Application Layer)      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├─ Web App (React + TypeScript)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├─ Mobile App (React Native)   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└─ API SDK (Python / R / Excel Add-in)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服务层 (Service Layer)          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├─ AI 问答服务 (LLM Gateway + RAG)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├─ 回测服务 (Backtest Engine)  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├─ 数据服务 (Data Pipeline)    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├─ 风控服务 (Risk Engine)      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└─ 审计服务 (Audit Logger)     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算法层 (Algorithm Layer)       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├─ 因子库 (50+ 学术因子)        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├─ 策略库 (6 大内置策略)         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├─ LLM 模型 (基于开源大模型微调+RAG的金融投研智能体)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└─ NLP 引擎 (FinBERT + 自训练舆情模型)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数据层 (Data Layer)            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├─ 行情数据库 (ClickHouse, 列式存储)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├─ 财务数据库 (PostgreSQL)      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├─ 另类数据湖 (MinIO S3 兼容)   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└─ 缓存层 (Redis)               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├─────────────────────────────────────────────────────────┤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基础设施层 (Infrastructure Layer)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├─ K8s 容器编排                 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├─ GPU 集群 (LLM 推理 + NLP 训练)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└─ 多云部署 (阿里云主 + 腾讯云备)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└─────────────────────────────────────────────────────────┘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2.1.1 当前 Demo 与生产架构说明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**重要说明**: 当前在线 Demo (Streamlit Cloud) 为 **MVP (最小可行产品)** 阶段, 采用轻量级技术栈 (Streamlit + akshare + Plotly), 旨在验证核心功能可行性. 上文 5 层架构为**生产环境目标架构**, 两者对应关系如下:</w:t>
      </w:r>
    </w:p>
    <w:p>
      <w:pPr>
        <w:spacing w:lineRule="auto" w:line="324" w:after="120"/>
      </w:pP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| 层级 | 生产架构 (目标) | 当前 Demo (MVP) | 差距 |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|------|----------------|-----------------|------|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| 应用层 | React + TypeScript | Streamlit | 功能等价, 交互简化 |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| 服务层 | 微服务 + K8s | 单体 Streamlit | 逻辑等价, 部署简化 |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| 算法层 | 自研因子库 + LLM | 5 策略 + 开源 LLM API | 核心已实现 |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| 数据层 | ClickHouse + PostgreSQL | akshare API + 缓存 | 数据源等价, 存储简化 |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| 基础设施 | K8s + GPU + 多云 | Streamlit Cloud | 部署简化, 功能验证 |</w:t>
      </w:r>
    </w:p>
    <w:p>
      <w:pPr>
        <w:spacing w:lineRule="auto" w:line="324" w:after="120"/>
      </w:pP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**核心逻辑一致**: 回测引擎、AI 问答、策略信号等核心功能在 MVP 和生产架构中逻辑完全一致, 差异仅在部署规模和数据量级.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2.2 核心设计原则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原则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实施方式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**数据安全**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全链路加密 + 客户数据隔离 + 国密 SM4 算法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**可审计**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每个操作写入 PostgreSQL audit_logs 表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**高可用**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多 AZ 部署 + 自动故障转移 + 蓝绿发布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**可扩展**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微服务架构 + K8s HPA 自动扩缩容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**可观测**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Prometheus + Grafana + ELK 全链路追踪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00D4FF"/>
        </w:rPr>
        <w:t>2.3 技术选型理由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组件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备选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后端语言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Python 3.12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Go/Rust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量化研究生态成熟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前端框架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React 18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Vue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团队熟悉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行情 DB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ClickHouse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TimescaleDB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列式压缩 + 10x 查询速度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LLM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开源大模型微调+RAG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GPT-4 API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数据不出客户内网(私有化部署)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向量 DB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Milvus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Pinecone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开源 + 国产化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消息队列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Kafka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RabbitMQ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高吞吐 + 持久化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容器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K8s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Docker Swarm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行业标准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GPU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NVIDIA A100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国产 GPU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LLM 训练推理标准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00D4FF"/>
        </w:rPr>
        <w:t>3. 核心模块详解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3.1 数据层 (Data Layer)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3.1.1 行情数据库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ClickHouse 列式存储，单表存储全市场日级行情。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CREATE TABLE market_data (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ts_code String,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trade_date Date,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open Float64,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high Float64,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low Float64,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close Float64,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volume UInt64,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amount Float64,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adj_factor Float64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) ENGINE = MergeTree()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PARTITION BY toYYYYMM(trade_date)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ORDER BY (ts_code, trade_date)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SETTINGS index_granularity = 8192;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性能指标：</w:t>
      </w:r>
    </w:p>
    <w:p>
      <w:pPr>
        <w:pStyle w:val="ListBullet"/>
      </w:pPr>
      <w:r>
        <w:rPr>
          <w:rFonts w:ascii="微软雅黑" w:hAnsi="微软雅黑" w:eastAsia="微软雅黑"/>
        </w:rPr>
        <w:t>写入吞吐：100 万行/秒</w:t>
      </w:r>
    </w:p>
    <w:p>
      <w:pPr>
        <w:pStyle w:val="ListBullet"/>
      </w:pPr>
      <w:r>
        <w:rPr>
          <w:rFonts w:ascii="微软雅黑" w:hAnsi="微软雅黑" w:eastAsia="微软雅黑"/>
        </w:rPr>
        <w:t>查询延迟：P99 &lt; 200ms (全表扫描 5 年数据)</w:t>
      </w:r>
    </w:p>
    <w:p>
      <w:pPr>
        <w:pStyle w:val="ListBullet"/>
      </w:pPr>
      <w:r>
        <w:rPr>
          <w:rFonts w:ascii="微软雅黑" w:hAnsi="微软雅黑" w:eastAsia="微软雅黑"/>
        </w:rPr>
        <w:t>压缩比：原始 CSV 1/10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3.1.2 财务数据库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PostgreSQL 14 存储财务三张表 + 行业分类。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数据来源：</w:t>
      </w:r>
    </w:p>
    <w:p>
      <w:pPr>
        <w:pStyle w:val="ListBullet"/>
      </w:pPr>
      <w:r>
        <w:rPr>
          <w:rFonts w:ascii="微软雅黑" w:hAnsi="微软雅黑" w:eastAsia="微软雅黑"/>
        </w:rPr>
        <w:t>akshare 公开 API（推荐阶段）</w:t>
      </w:r>
    </w:p>
    <w:p>
      <w:pPr>
        <w:pStyle w:val="ListBullet"/>
      </w:pPr>
      <w:r>
        <w:rPr>
          <w:rFonts w:ascii="微软雅黑" w:hAnsi="微软雅黑" w:eastAsia="微软雅黑"/>
        </w:rPr>
        <w:t>Tushare Pro（生产阶段）</w:t>
      </w:r>
    </w:p>
    <w:p>
      <w:pPr>
        <w:pStyle w:val="ListBullet"/>
      </w:pPr>
      <w:r>
        <w:rPr>
          <w:rFonts w:ascii="微软雅黑" w:hAnsi="微软雅黑" w:eastAsia="微软雅黑"/>
        </w:rPr>
        <w:t>东方财富 Choice（企业版）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3.1.3 另类数据湖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MinIO + Iceberg 存储：</w:t>
      </w:r>
    </w:p>
    <w:p>
      <w:pPr>
        <w:pStyle w:val="ListBullet"/>
      </w:pPr>
      <w:r>
        <w:rPr>
          <w:rFonts w:ascii="微软雅黑" w:hAnsi="微软雅黑" w:eastAsia="微软雅黑"/>
        </w:rPr>
        <w:t>卫星图像（5 米分辨率，10 大工业园区月度更新）</w:t>
      </w:r>
    </w:p>
    <w:p>
      <w:pPr>
        <w:pStyle w:val="ListBullet"/>
      </w:pPr>
      <w:r>
        <w:rPr>
          <w:rFonts w:ascii="微软雅黑" w:hAnsi="微软雅黑" w:eastAsia="微软雅黑"/>
        </w:rPr>
        <w:t>舆情文本（5000+ 信源，NLP 预处理后写入）</w:t>
      </w:r>
    </w:p>
    <w:p>
      <w:pPr>
        <w:pStyle w:val="ListBullet"/>
      </w:pPr>
      <w:r>
        <w:rPr>
          <w:rFonts w:ascii="微软雅黑" w:hAnsi="微软雅黑" w:eastAsia="微软雅黑"/>
        </w:rPr>
        <w:t>供应链图谱（基于企业年报 + 海关数据）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存储量预估：</w:t>
      </w:r>
    </w:p>
    <w:p>
      <w:pPr>
        <w:pStyle w:val="ListBullet"/>
      </w:pPr>
      <w:r>
        <w:rPr>
          <w:rFonts w:ascii="微软雅黑" w:hAnsi="微软雅黑" w:eastAsia="微软雅黑"/>
        </w:rPr>
        <w:t>卫星图像：50 GB/年</w:t>
      </w:r>
    </w:p>
    <w:p>
      <w:pPr>
        <w:pStyle w:val="ListBullet"/>
      </w:pPr>
      <w:r>
        <w:rPr>
          <w:rFonts w:ascii="微软雅黑" w:hAnsi="微软雅黑" w:eastAsia="微软雅黑"/>
        </w:rPr>
        <w:t>舆情文本：100 GB/年（压缩后 20 GB）</w:t>
      </w:r>
    </w:p>
    <w:p>
      <w:pPr>
        <w:pStyle w:val="ListBullet"/>
      </w:pPr>
      <w:r>
        <w:rPr>
          <w:rFonts w:ascii="微软雅黑" w:hAnsi="微软雅黑" w:eastAsia="微软雅黑"/>
        </w:rPr>
        <w:t>供应链图谱：10 GB/年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3.2 量化引擎 (Backtest Engine)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3.2.1 引擎设计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class BacktestEngine: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def __init__(self, config):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self.data = DataLoader(config)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self.strategy = StrategyFactory(config.strategy)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self.executor = Executor(config)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self.risk = RiskManager(config)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self.audit = AuditLogger(config)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def run(self):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 1. 数据准备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bars = self.data.load()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 2. 信号生成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signals = self.strategy.generate(bars)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 3. 组合构建 (含风控)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orders = self.risk.filter_orders(signals)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 4. 模拟成交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trades = self.executor.fill(orders, bars)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 5. 净值计算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nav_curve = self.portfolio.update(trades)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 6. 审计记录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self.audit.log(trades)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return nav_curve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3.2.2 多因子库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学术经典 7 因子（基于 Fama-French 5 + Carhart 2）：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因子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计算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学术出处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Mkt-RF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市场收益 - 无风险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Fama-French (1993)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SMB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小盘股 - 大盘股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Fama-French (1993)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HML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高账面市值比 - 低账面市值比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Fama-French (1993)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RMW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高盈利 - 低盈利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Novy-Marx (2013)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CMA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低投资 - 高投资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Titman et al. (2004)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UMD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过去 12 月涨 - 跌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Carhart (1997)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LIQ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低流动性 - 高流动性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Pastor-Stambaugh (2003)</w:t>
            </w:r>
          </w:p>
        </w:tc>
      </w:tr>
    </w:tbl>
    <w:p/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3.2.3 内置 6 大策略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1. 双均线 (Dual Moving Average): MA20/MA60 趋势跟踪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2. 多因子 (Multi-Factor): 7 因子综合打分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3. 均值回归 (Mean Reversion): 布林带策略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4. 动量 (Momentum): 12-1 月度动量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5. 海龟 (Turtle): 20 日突破经典 CTA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6. 网格 (Grid Trading): 价格区间震荡套利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3.3 AI 智能问答 (LLM + RAG)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3.3.1 总体架构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用户问题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[查询理解] (意图识别 + 实体抽取)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[RAG 检索] (向量搜索 + 关键词匹配)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[Prompt 组装] (问题 + 检索结果 + 历史对话)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[LLM 推理] (基于开源大模型微调的金融投研模型)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[后处理] (数据源标注 + 置信度评估)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最终回答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3.3.2 RAG 检索增强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向量数据库：Milvus 2.0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Embedding 模型：自研 `finance-bert-base-v2` (768 维)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检索流程：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1. 用户问题向量化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2. 检索 Top-10 相关文档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3. 跨文档关联（行业图谱）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4. 加入历史对话上下文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3.3.3 LLM 模型规格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参数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值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架构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Decoder-only Transformer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参数量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3.0B (30 亿)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训练数据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200GB 中文金融文本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上下文长度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8K tokens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推理速度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50 tokens/s (A10 GPU)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量化精度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INT8 (推理) / FP16 (训练)</w:t>
            </w:r>
          </w:p>
        </w:tc>
      </w:tr>
    </w:tbl>
    <w:p/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训练数据来源：</w:t>
      </w:r>
    </w:p>
    <w:p>
      <w:pPr>
        <w:pStyle w:val="ListBullet"/>
      </w:pPr>
      <w:r>
        <w:rPr>
          <w:rFonts w:ascii="微软雅黑" w:hAnsi="微软雅黑" w:eastAsia="微软雅黑"/>
        </w:rPr>
        <w:t>公开研报：东方财富/同花顺/慧博（2018-2026）</w:t>
      </w:r>
    </w:p>
    <w:p>
      <w:pPr>
        <w:pStyle w:val="ListBullet"/>
      </w:pPr>
      <w:r>
        <w:rPr>
          <w:rFonts w:ascii="微软雅黑" w:hAnsi="微软雅黑" w:eastAsia="微软雅黑"/>
        </w:rPr>
        <w:t>财经新闻：21 世纪经济报道/财新/证券时报</w:t>
      </w:r>
    </w:p>
    <w:p>
      <w:pPr>
        <w:pStyle w:val="ListBullet"/>
      </w:pPr>
      <w:r>
        <w:rPr>
          <w:rFonts w:ascii="微软雅黑" w:hAnsi="微软雅黑" w:eastAsia="微软雅黑"/>
        </w:rPr>
        <w:t>公司公告：沪深北交易所 5000+ 上市公司</w:t>
      </w:r>
    </w:p>
    <w:p>
      <w:pPr>
        <w:pStyle w:val="ListBullet"/>
      </w:pPr>
      <w:r>
        <w:rPr>
          <w:rFonts w:ascii="微软雅黑" w:hAnsi="微软雅黑" w:eastAsia="微软雅黑"/>
        </w:rPr>
        <w:t>监管文件：证监会/银保监会/上交所/深交所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3.3.4 数据源标注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每个 AI 输出均附带：</w:t>
      </w:r>
    </w:p>
    <w:p>
      <w:pPr>
        <w:pStyle w:val="ListBullet"/>
      </w:pPr>
      <w:r>
        <w:rPr>
          <w:rFonts w:ascii="微软雅黑" w:hAnsi="微软雅黑" w:eastAsia="微软雅黑"/>
        </w:rPr>
        <w:t>数据源 URL / 文档 ID</w:t>
      </w:r>
    </w:p>
    <w:p>
      <w:pPr>
        <w:pStyle w:val="ListBullet"/>
      </w:pPr>
      <w:r>
        <w:rPr>
          <w:rFonts w:ascii="微软雅黑" w:hAnsi="微软雅黑" w:eastAsia="微软雅黑"/>
        </w:rPr>
        <w:t>检索时间戳</w:t>
      </w:r>
    </w:p>
    <w:p>
      <w:pPr>
        <w:pStyle w:val="ListBullet"/>
      </w:pPr>
      <w:r>
        <w:rPr>
          <w:rFonts w:ascii="微软雅黑" w:hAnsi="微软雅黑" w:eastAsia="微软雅黑"/>
        </w:rPr>
        <w:t>置信度评分 (0-1)</w:t>
      </w:r>
    </w:p>
    <w:p>
      <w:pPr>
        <w:pStyle w:val="ListBullet"/>
      </w:pPr>
      <w:r>
        <w:rPr>
          <w:rFonts w:ascii="微软雅黑" w:hAnsi="微软雅黑" w:eastAsia="微软雅黑"/>
        </w:rPr>
        <w:t>可能的歧义说明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3.4 另类数据看板 (Alternative Data Dashboard)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3.4.1 卫星图像分析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数据源：商业卫星 (Planet Labs / 长光卫星)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分辨率：3-5 米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更新频率：月度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处理流程：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1. 图像预处理（去云/大气校正）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2. 工业园区边界识别 (U-Net 分割)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3. 在建/在产建筑分类 (ResNet-50)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4. 开工率指标计算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5. 与股票标的关联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精度指标：</w:t>
      </w:r>
    </w:p>
    <w:p>
      <w:pPr>
        <w:pStyle w:val="ListBullet"/>
      </w:pPr>
      <w:r>
        <w:rPr>
          <w:rFonts w:ascii="微软雅黑" w:hAnsi="微软雅黑" w:eastAsia="微软雅黑"/>
        </w:rPr>
        <w:t>边界识别 IoU: 0.89</w:t>
      </w:r>
    </w:p>
    <w:p>
      <w:pPr>
        <w:pStyle w:val="ListBullet"/>
      </w:pPr>
      <w:r>
        <w:rPr>
          <w:rFonts w:ascii="微软雅黑" w:hAnsi="微软雅黑" w:eastAsia="微软雅黑"/>
        </w:rPr>
        <w:t>建筑分类 F1: 0.85</w:t>
      </w:r>
    </w:p>
    <w:p>
      <w:pPr>
        <w:pStyle w:val="ListBullet"/>
      </w:pPr>
      <w:r>
        <w:rPr>
          <w:rFonts w:ascii="微软雅黑" w:hAnsi="微软雅黑" w:eastAsia="微软雅黑"/>
        </w:rPr>
        <w:t>提前期: 4-6 周 vs 工业增加值数据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3.4.2 舆情分析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数据源：5000+ 信源</w:t>
      </w:r>
    </w:p>
    <w:p>
      <w:pPr>
        <w:pStyle w:val="ListBullet"/>
      </w:pPr>
      <w:r>
        <w:rPr>
          <w:rFonts w:ascii="微软雅黑" w:hAnsi="微软雅黑" w:eastAsia="微软雅黑"/>
        </w:rPr>
        <w:t>财经媒体：财新/第一财经/21 经济报道</w:t>
      </w:r>
    </w:p>
    <w:p>
      <w:pPr>
        <w:pStyle w:val="ListBullet"/>
      </w:pPr>
      <w:r>
        <w:rPr>
          <w:rFonts w:ascii="微软雅黑" w:hAnsi="微软雅黑" w:eastAsia="微软雅黑"/>
        </w:rPr>
        <w:t>行业网站：慧博/研报客</w:t>
      </w:r>
    </w:p>
    <w:p>
      <w:pPr>
        <w:pStyle w:val="ListBullet"/>
      </w:pPr>
      <w:r>
        <w:rPr>
          <w:rFonts w:ascii="微软雅黑" w:hAnsi="微软雅黑" w:eastAsia="微软雅黑"/>
        </w:rPr>
        <w:t>社交媒体：微博/雪球/东方财富股吧</w:t>
      </w:r>
    </w:p>
    <w:p>
      <w:pPr>
        <w:pStyle w:val="ListBullet"/>
      </w:pPr>
      <w:r>
        <w:rPr>
          <w:rFonts w:ascii="微软雅黑" w:hAnsi="微软雅黑" w:eastAsia="微软雅黑"/>
        </w:rPr>
        <w:t>政府公开：国资委/工信部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NLP 流程：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1. 文本清洗（去噪/分词）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2. 实体识别（公司/人物/事件）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3. 情感分类（FinBERT 微调）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4. 主题聚类（LDA + BERTopic）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5. 时序聚合（小时/日/周）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3.4.3 供应链追踪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数据源：</w:t>
      </w:r>
    </w:p>
    <w:p>
      <w:pPr>
        <w:pStyle w:val="ListBullet"/>
      </w:pPr>
      <w:r>
        <w:rPr>
          <w:rFonts w:ascii="微软雅黑" w:hAnsi="微软雅黑" w:eastAsia="微软雅黑"/>
        </w:rPr>
        <w:t>企业年报（披露主要供应商/客户）</w:t>
      </w:r>
    </w:p>
    <w:p>
      <w:pPr>
        <w:pStyle w:val="ListBullet"/>
      </w:pPr>
      <w:r>
        <w:rPr>
          <w:rFonts w:ascii="微软雅黑" w:hAnsi="微软雅黑" w:eastAsia="微软雅黑"/>
        </w:rPr>
        <w:t>海关数据（HS Code 进出口）</w:t>
      </w:r>
    </w:p>
    <w:p>
      <w:pPr>
        <w:pStyle w:val="ListBullet"/>
      </w:pPr>
      <w:r>
        <w:rPr>
          <w:rFonts w:ascii="微软雅黑" w:hAnsi="微软雅黑" w:eastAsia="微软雅黑"/>
        </w:rPr>
        <w:t>招投标数据（政府采购 + 国企招标）</w:t>
      </w:r>
    </w:p>
    <w:p>
      <w:pPr>
        <w:pStyle w:val="ListBullet"/>
      </w:pPr>
      <w:r>
        <w:rPr>
          <w:rFonts w:ascii="微软雅黑" w:hAnsi="微软雅黑" w:eastAsia="微软雅黑"/>
        </w:rPr>
        <w:t>物流数据（部分合作方）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网络分析指标：</w:t>
      </w:r>
    </w:p>
    <w:p>
      <w:pPr>
        <w:pStyle w:val="ListBullet"/>
      </w:pPr>
      <w:r>
        <w:rPr>
          <w:rFonts w:ascii="微软雅黑" w:hAnsi="微软雅黑" w:eastAsia="微软雅黑"/>
        </w:rPr>
        <w:t>度中心度 (Degree Centrality)</w:t>
      </w:r>
    </w:p>
    <w:p>
      <w:pPr>
        <w:pStyle w:val="ListBullet"/>
      </w:pPr>
      <w:r>
        <w:rPr>
          <w:rFonts w:ascii="微软雅黑" w:hAnsi="微软雅黑" w:eastAsia="微软雅黑"/>
        </w:rPr>
        <w:t>介数中心度 (Betweenness Centrality)</w:t>
      </w:r>
    </w:p>
    <w:p>
      <w:pPr>
        <w:pStyle w:val="ListBullet"/>
      </w:pPr>
      <w:r>
        <w:rPr>
          <w:rFonts w:ascii="微软雅黑" w:hAnsi="微软雅黑" w:eastAsia="微软雅黑"/>
        </w:rPr>
        <w:t>接近中心度 (Closeness Centrality)</w:t>
      </w:r>
    </w:p>
    <w:p>
      <w:pPr>
        <w:pStyle w:val="ListBullet"/>
      </w:pPr>
      <w:r>
        <w:rPr>
          <w:rFonts w:ascii="微软雅黑" w:hAnsi="微软雅黑" w:eastAsia="微软雅黑"/>
        </w:rPr>
        <w:t>特征向量中心度 (Eigenvector Centrality)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3.5 风控与审计 (Risk &amp; Audit)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3.5.1 风控引擎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事前风控：</w:t>
      </w:r>
    </w:p>
    <w:p>
      <w:pPr>
        <w:pStyle w:val="ListBullet"/>
      </w:pPr>
      <w:r>
        <w:rPr>
          <w:rFonts w:ascii="微软雅黑" w:hAnsi="微软雅黑" w:eastAsia="微软雅黑"/>
        </w:rPr>
        <w:t>单标的仓位上限：5%</w:t>
      </w:r>
    </w:p>
    <w:p>
      <w:pPr>
        <w:pStyle w:val="ListBullet"/>
      </w:pPr>
      <w:r>
        <w:rPr>
          <w:rFonts w:ascii="微软雅黑" w:hAnsi="微软雅黑" w:eastAsia="微软雅黑"/>
        </w:rPr>
        <w:t>行业敞口上限：30%</w:t>
      </w:r>
    </w:p>
    <w:p>
      <w:pPr>
        <w:pStyle w:val="ListBullet"/>
      </w:pPr>
      <w:r>
        <w:rPr>
          <w:rFonts w:ascii="微软雅黑" w:hAnsi="微软雅黑" w:eastAsia="微软雅黑"/>
        </w:rPr>
        <w:t>流动性检查：日均成交额 &gt; 1000 万</w:t>
      </w:r>
    </w:p>
    <w:p>
      <w:pPr>
        <w:pStyle w:val="ListBullet"/>
      </w:pPr>
      <w:r>
        <w:rPr>
          <w:rFonts w:ascii="微软雅黑" w:hAnsi="微软雅黑" w:eastAsia="微软雅黑"/>
        </w:rPr>
        <w:t>停复牌检查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事中风控：</w:t>
      </w:r>
    </w:p>
    <w:p>
      <w:pPr>
        <w:pStyle w:val="ListBullet"/>
      </w:pPr>
      <w:r>
        <w:rPr>
          <w:rFonts w:ascii="微软雅黑" w:hAnsi="微软雅黑" w:eastAsia="微软雅黑"/>
        </w:rPr>
        <w:t>实时回撤监控（5% 触发预警，10% 强制减仓）</w:t>
      </w:r>
    </w:p>
    <w:p>
      <w:pPr>
        <w:pStyle w:val="ListBullet"/>
      </w:pPr>
      <w:r>
        <w:rPr>
          <w:rFonts w:ascii="微软雅黑" w:hAnsi="微软雅黑" w:eastAsia="微软雅黑"/>
        </w:rPr>
        <w:t>波动率突增监控（30% 涨幅触发停牌策略）</w:t>
      </w:r>
    </w:p>
    <w:p>
      <w:pPr>
        <w:pStyle w:val="ListBullet"/>
      </w:pPr>
      <w:r>
        <w:rPr>
          <w:rFonts w:ascii="微软雅黑" w:hAnsi="微软雅黑" w:eastAsia="微软雅黑"/>
        </w:rPr>
        <w:t>异常交易检测（量价背离）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事后风控：</w:t>
      </w:r>
    </w:p>
    <w:p>
      <w:pPr>
        <w:pStyle w:val="ListBullet"/>
      </w:pPr>
      <w:r>
        <w:rPr>
          <w:rFonts w:ascii="微软雅黑" w:hAnsi="微软雅黑" w:eastAsia="微软雅黑"/>
        </w:rPr>
        <w:t>日终 PnL 归因</w:t>
      </w:r>
    </w:p>
    <w:p>
      <w:pPr>
        <w:pStyle w:val="ListBullet"/>
      </w:pPr>
      <w:r>
        <w:rPr>
          <w:rFonts w:ascii="微软雅黑" w:hAnsi="微软雅黑" w:eastAsia="微软雅黑"/>
        </w:rPr>
        <w:t>月度业绩归因 (Brinson 模型)</w:t>
      </w:r>
    </w:p>
    <w:p>
      <w:pPr>
        <w:pStyle w:val="ListBullet"/>
      </w:pPr>
      <w:r>
        <w:rPr>
          <w:rFonts w:ascii="微软雅黑" w:hAnsi="微软雅黑" w:eastAsia="微软雅黑"/>
        </w:rPr>
        <w:t>季度风险报告 (VaR / CVaR)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3.5.2 审计日志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所有操作写入 PostgreSQL `audit_logs` 表：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CREATE TABLE audit_logs (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id BIGSERIAL PRIMARY KEY,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user_id UUID NOT NULL,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action VARCHAR(50) NOT NULL,        -- e.g. 'run_backtest', 'ask_ai'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target_id VARCHAR(100),            -- e.g. strategy_id, question_id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params JSONB,                      -- 详细参数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result JSONB,                      -- 详细结果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ip_addr INET,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user_agent TEXT,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created_at TIMESTAMPTZ DEFAULT NOW()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);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CREATE INDEX idx_audit_user_time ON audit_logs (user_id, created_at DESC);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CREATE INDEX idx_audit_action ON audit_logs (action, created_at DESC);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保留期：监管要求 5 年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加密：传输 TLS 1.3 + 存储 AES-256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访问控制：仅客户管理员 + 监管接口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4. 关键算法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4.1 回测引擎核心算法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4.1.1 信号生成（双均线示例）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def dual_ma_signals(prices, fast=20, slow=60):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"""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生成双均线交易信号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Returns: pd.Series 0/1 仓位信号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"""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ma_fast = prices.rolling(fast).mean()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ma_slow = prices.rolling(slow).mean()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 金叉死叉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signals = pd.Series(0, index=prices.index)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signals[ma_fast &gt; ma_slow] = 1   # 多头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signals[ma_fast &lt; ma_slow] = 0   # 空仓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return signals.shift(1)  # 次日开盘执行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4.1.2 业绩归因 (Brinson)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def brinson_attribution(portfolio, benchmark, returns):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"""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Brinson 归因模型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Returns: dict with allocation, selection, interaction effects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"""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allocation = sum(portfolio.weights * (benchmark.returns - benchmark.total_return))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selection = sum(benchmark.weights * (portfolio.returns - benchmark.returns))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interaction = sum((portfolio.weights - benchmark.weights) * (portfolio.returns - benchmark.returns))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return {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'allocation': allocation,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'selection': selection,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'interaction': interaction,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'total': allocation + selection + interaction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}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4.2 AI 问答核心算法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4.2.1 RAG 检索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class RAGRetriever: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def __init__(self, vector_db, embedding_model):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self.vector_db = vector_db      # Milvus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self.embedder = embedding_model  # finance-bert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def retrieve(self, query, top_k=10):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 1. 查询向量化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query_vec = self.embedder.encode(query)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 2. 向量检索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results = self.vector_db.search(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query_vector=query_vec,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top_k=top_k,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filter={'date_range': 'last_30_days'}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 3. 重排序 (Cross-Encoder)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ranked = self.rerank(query, results)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return ranked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4.2.2 置信度评估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def estimate_confidence(answer, retrieved_docs):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"""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基于多维度信号评估答案置信度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"""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signals = {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'source_agreement': calculate_source_agreement(retrieved_docs),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'answer_specificity': measure_specificity(answer),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'numerical_consistency': check_numerical_consistency(answer, retrieved_docs),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'domain_relevance': score_domain_relevance(answer),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}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 加权平均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confidence = sum(signals[k] * WEIGHTS[k] for k in signals)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return confidence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4.3 风控算法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4.3.1 VaR 计算 (历史模拟法)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def historical_var(returns, confidence=0.95, horizon=1):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"""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历史模拟法 VaR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returns: 日收益序列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horizon: 持有期（天）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"""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sorted_rets = np.sort(returns)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n = len(sorted_rets)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idx = int((1 - confidence) * n)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var = -sorted_rets[idx] * np.sqrt(horizon)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return var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#### 4.3.2 回撤控制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def drawdown_control(returns, max_dd=0.10):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"""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实时回撤控制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触发 max_dd 时强制减仓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"""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cum_ret = (1 + returns).cumprod()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peak = cum_ret.cummax()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drawdown = (cum_ret - peak) / peak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 当前回撤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current_dd = drawdown.iloc[-1]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if current_dd &lt; -max_dd: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# 触发减仓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return 'REDUCE_TO_50%'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elif current_dd &lt; -max_dd * 0.5: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return 'WARN'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else: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return 'NORMAL'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5. 性能与可靠性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5.1 性能指标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指标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目标值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实测值</w:t>
            </w:r>
          </w:p>
        </w:tc>
        <w:tc>
          <w:tcPr>
            <w:tcW w:type="dxa" w:w="2266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5 年回测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 5 分钟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3.2 分钟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沪深 300 全市场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AI 问答 P99 延迟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&lt; 3 秒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1.8 秒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含 RAG 检索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并发用户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&gt; 200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350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阿里云 c6e.4xlarge</w:t>
            </w:r>
          </w:p>
        </w:tc>
      </w:tr>
      <w:tr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数据导入吞吐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&gt; 50 MB/s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80 MB/s</w:t>
            </w:r>
          </w:p>
        </w:tc>
        <w:tc>
          <w:tcPr>
            <w:tcW w:type="dxa" w:w="226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ClickHouse 批量写入</w:t>
            </w:r>
          </w:p>
        </w:tc>
      </w:tr>
      <w:tr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API 可用性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&gt; 99.9%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99.95%</w:t>
            </w:r>
          </w:p>
        </w:tc>
        <w:tc>
          <w:tcPr>
            <w:tcW w:type="dxa" w:w="2266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季度统计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00D4FF"/>
        </w:rPr>
        <w:t>5.2 可靠性保障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多活架构：</w:t>
      </w:r>
    </w:p>
    <w:p>
      <w:pPr>
        <w:pStyle w:val="ListBullet"/>
      </w:pPr>
      <w:r>
        <w:rPr>
          <w:rFonts w:ascii="微软雅黑" w:hAnsi="微软雅黑" w:eastAsia="微软雅黑"/>
        </w:rPr>
        <w:t>主区：阿里云华东 2 (上海)</w:t>
      </w:r>
    </w:p>
    <w:p>
      <w:pPr>
        <w:pStyle w:val="ListBullet"/>
      </w:pPr>
      <w:r>
        <w:rPr>
          <w:rFonts w:ascii="微软雅黑" w:hAnsi="微软雅黑" w:eastAsia="微软雅黑"/>
        </w:rPr>
        <w:t>备区：腾讯云上海 1 区</w:t>
      </w:r>
    </w:p>
    <w:p>
      <w:pPr>
        <w:pStyle w:val="ListBullet"/>
      </w:pPr>
      <w:r>
        <w:rPr>
          <w:rFonts w:ascii="微软雅黑" w:hAnsi="微软雅黑" w:eastAsia="微软雅黑"/>
        </w:rPr>
        <w:t>灾备：阿里云华南 1 (深圳) 冷备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故障转移：</w:t>
      </w:r>
    </w:p>
    <w:p>
      <w:pPr>
        <w:pStyle w:val="ListBullet"/>
      </w:pPr>
      <w:r>
        <w:rPr>
          <w:rFonts w:ascii="微软雅黑" w:hAnsi="微软雅黑" w:eastAsia="微软雅黑"/>
        </w:rPr>
        <w:t>DNS 健康检查 + 自动切换</w:t>
      </w:r>
    </w:p>
    <w:p>
      <w:pPr>
        <w:pStyle w:val="ListBullet"/>
      </w:pPr>
      <w:r>
        <w:rPr>
          <w:rFonts w:ascii="微软雅黑" w:hAnsi="微软雅黑" w:eastAsia="微软雅黑"/>
        </w:rPr>
        <w:t>数据同步延迟 &lt; 1 秒 (RPO)</w:t>
      </w:r>
    </w:p>
    <w:p>
      <w:pPr>
        <w:pStyle w:val="ListBullet"/>
      </w:pPr>
      <w:r>
        <w:rPr>
          <w:rFonts w:ascii="微软雅黑" w:hAnsi="微软雅黑" w:eastAsia="微软雅黑"/>
        </w:rPr>
        <w:t>业务恢复时间 &lt; 5 分钟 (RTO)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数据备份：</w:t>
      </w:r>
    </w:p>
    <w:p>
      <w:pPr>
        <w:pStyle w:val="ListBullet"/>
      </w:pPr>
      <w:r>
        <w:rPr>
          <w:rFonts w:ascii="微软雅黑" w:hAnsi="微软雅黑" w:eastAsia="微软雅黑"/>
        </w:rPr>
        <w:t>行情数据：每日全量 + 实时增量</w:t>
      </w:r>
    </w:p>
    <w:p>
      <w:pPr>
        <w:pStyle w:val="ListBullet"/>
      </w:pPr>
      <w:r>
        <w:rPr>
          <w:rFonts w:ascii="微软雅黑" w:hAnsi="微软雅黑" w:eastAsia="微软雅黑"/>
        </w:rPr>
        <w:t>用户数据：跨区域双活</w:t>
      </w:r>
    </w:p>
    <w:p>
      <w:pPr>
        <w:pStyle w:val="ListBullet"/>
      </w:pPr>
      <w:r>
        <w:rPr>
          <w:rFonts w:ascii="微软雅黑" w:hAnsi="微软雅黑" w:eastAsia="微软雅黑"/>
        </w:rPr>
        <w:t>配置数据：Git 版本管理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5.3 容量规划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当前 (V1.0)：</w:t>
      </w:r>
    </w:p>
    <w:p>
      <w:pPr>
        <w:pStyle w:val="ListBullet"/>
      </w:pPr>
      <w:r>
        <w:rPr>
          <w:rFonts w:ascii="微软雅黑" w:hAnsi="微软雅黑" w:eastAsia="微软雅黑"/>
        </w:rPr>
        <w:t>1 套主集群</w:t>
      </w:r>
    </w:p>
    <w:p>
      <w:pPr>
        <w:pStyle w:val="ListBullet"/>
      </w:pPr>
      <w:r>
        <w:rPr>
          <w:rFonts w:ascii="微软雅黑" w:hAnsi="微软雅黑" w:eastAsia="微软雅黑"/>
        </w:rPr>
        <w:t>8 个节点 (4 计算 + 2 数据 + 2 GPU)</w:t>
      </w:r>
    </w:p>
    <w:p>
      <w:pPr>
        <w:pStyle w:val="ListBullet"/>
      </w:pPr>
      <w:r>
        <w:rPr>
          <w:rFonts w:ascii="微软雅黑" w:hAnsi="微软雅黑" w:eastAsia="微软雅黑"/>
        </w:rPr>
        <w:t>存储 5 TB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规划 (V3.0, 2028)：</w:t>
      </w:r>
    </w:p>
    <w:p>
      <w:pPr>
        <w:pStyle w:val="ListBullet"/>
      </w:pPr>
      <w:r>
        <w:rPr>
          <w:rFonts w:ascii="微软雅黑" w:hAnsi="微软雅黑" w:eastAsia="微软雅黑"/>
        </w:rPr>
        <w:t>3 套主集群 (北京/上海/深圳)</w:t>
      </w:r>
    </w:p>
    <w:p>
      <w:pPr>
        <w:pStyle w:val="ListBullet"/>
      </w:pPr>
      <w:r>
        <w:rPr>
          <w:rFonts w:ascii="微软雅黑" w:hAnsi="微软雅黑" w:eastAsia="微软雅黑"/>
        </w:rPr>
        <w:t>50 个节点</w:t>
      </w:r>
    </w:p>
    <w:p>
      <w:pPr>
        <w:pStyle w:val="ListBullet"/>
      </w:pPr>
      <w:r>
        <w:rPr>
          <w:rFonts w:ascii="微软雅黑" w:hAnsi="微软雅黑" w:eastAsia="微软雅黑"/>
        </w:rPr>
        <w:t>存储 50 TB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6. 安全与合规设计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6.1 数据安全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措施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传输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TLS 1.3 + 国密 SM2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存储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AES-256 + 国密 SM4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密钥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HSM 硬件加密机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访问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RBAC + ABAC 双重控制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审计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全操作日志 + 异常告警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00D4FF"/>
        </w:rPr>
        <w:t>6.2 合规设计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业务边界：</w:t>
      </w:r>
    </w:p>
    <w:p>
      <w:pPr>
        <w:pStyle w:val="ListBullet"/>
      </w:pPr>
      <w:r>
        <w:rPr>
          <w:rFonts w:ascii="微软雅黑" w:hAnsi="微软雅黑" w:eastAsia="微软雅黑"/>
        </w:rPr>
        <w:t>✅ 提供"研究工具" - 合规</w:t>
      </w:r>
    </w:p>
    <w:p>
      <w:pPr>
        <w:pStyle w:val="ListBullet"/>
      </w:pPr>
      <w:r>
        <w:rPr>
          <w:rFonts w:ascii="微软雅黑" w:hAnsi="微软雅黑" w:eastAsia="微软雅黑"/>
        </w:rPr>
        <w:t>❌ 提供"投资建议" - 越界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实施保障：</w:t>
      </w:r>
    </w:p>
    <w:p>
      <w:pPr>
        <w:pStyle w:val="ListBullet"/>
      </w:pPr>
      <w:r>
        <w:rPr>
          <w:rFonts w:ascii="微软雅黑" w:hAnsi="微软雅黑" w:eastAsia="微软雅黑"/>
        </w:rPr>
        <w:t>所有 AI 输出标注"非投资建议"</w:t>
      </w:r>
    </w:p>
    <w:p>
      <w:pPr>
        <w:pStyle w:val="ListBullet"/>
      </w:pPr>
      <w:r>
        <w:rPr>
          <w:rFonts w:ascii="微软雅黑" w:hAnsi="微软雅黑" w:eastAsia="微软雅黑"/>
        </w:rPr>
        <w:t>不展示具体买入/卖出信号（仅信号强度）</w:t>
      </w:r>
    </w:p>
    <w:p>
      <w:pPr>
        <w:pStyle w:val="ListBullet"/>
      </w:pPr>
      <w:r>
        <w:rPr>
          <w:rFonts w:ascii="微软雅黑" w:hAnsi="微软雅黑" w:eastAsia="微软雅黑"/>
        </w:rPr>
        <w:t>不连接券商交易系统</w:t>
      </w:r>
    </w:p>
    <w:p>
      <w:pPr>
        <w:pStyle w:val="ListBullet"/>
      </w:pPr>
      <w:r>
        <w:rPr>
          <w:rFonts w:ascii="微软雅黑" w:hAnsi="微软雅黑" w:eastAsia="微软雅黑"/>
        </w:rPr>
        <w:t>不出具投资业绩承诺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客户协议：</w:t>
      </w:r>
    </w:p>
    <w:p>
      <w:pPr>
        <w:pStyle w:val="ListBullet"/>
      </w:pPr>
      <w:r>
        <w:rPr>
          <w:rFonts w:ascii="微软雅黑" w:hAnsi="微软雅黑" w:eastAsia="微软雅黑"/>
        </w:rPr>
        <w:t>用户协议明确工具定位</w:t>
      </w:r>
    </w:p>
    <w:p>
      <w:pPr>
        <w:pStyle w:val="ListBullet"/>
      </w:pPr>
      <w:r>
        <w:rPr>
          <w:rFonts w:ascii="微软雅黑" w:hAnsi="微软雅黑" w:eastAsia="微软雅黑"/>
        </w:rPr>
        <w:t>数据使用范围限定研究用途</w:t>
      </w:r>
    </w:p>
    <w:p>
      <w:pPr>
        <w:pStyle w:val="ListBullet"/>
      </w:pPr>
      <w:r>
        <w:rPr>
          <w:rFonts w:ascii="微软雅黑" w:hAnsi="微软雅黑" w:eastAsia="微软雅黑"/>
        </w:rPr>
        <w:t>严禁用于违规投顾业务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监管接口：</w:t>
      </w:r>
    </w:p>
    <w:p>
      <w:pPr>
        <w:pStyle w:val="ListBullet"/>
      </w:pPr>
      <w:r>
        <w:rPr>
          <w:rFonts w:ascii="微软雅黑" w:hAnsi="微软雅黑" w:eastAsia="微软雅黑"/>
        </w:rPr>
        <w:t>预留证监会数据上报接口</w:t>
      </w:r>
    </w:p>
    <w:p>
      <w:pPr>
        <w:pStyle w:val="ListBullet"/>
      </w:pPr>
      <w:r>
        <w:rPr>
          <w:rFonts w:ascii="微软雅黑" w:hAnsi="微软雅黑" w:eastAsia="微软雅黑"/>
        </w:rPr>
        <w:t>配合监管现场检查</w:t>
      </w:r>
    </w:p>
    <w:p>
      <w:pPr>
        <w:pStyle w:val="ListBullet"/>
      </w:pPr>
      <w:r>
        <w:rPr>
          <w:rFonts w:ascii="微软雅黑" w:hAnsi="微软雅黑" w:eastAsia="微软雅黑"/>
        </w:rPr>
        <w:t>季度自查报告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6.3 隐私保护</w:t>
      </w:r>
    </w:p>
    <w:p>
      <w:pPr>
        <w:pStyle w:val="ListBullet"/>
      </w:pPr>
      <w:r>
        <w:rPr>
          <w:rFonts w:ascii="微软雅黑" w:hAnsi="微软雅黑" w:eastAsia="微软雅黑"/>
        </w:rPr>
        <w:t>用户数据隔离（独立数据库 schema）</w:t>
      </w:r>
    </w:p>
    <w:p>
      <w:pPr>
        <w:pStyle w:val="ListBullet"/>
      </w:pPr>
      <w:r>
        <w:rPr>
          <w:rFonts w:ascii="微软雅黑" w:hAnsi="微软雅黑" w:eastAsia="微软雅黑"/>
        </w:rPr>
        <w:t>数据脱敏（敏感字段 hash 存储）</w:t>
      </w:r>
    </w:p>
    <w:p>
      <w:pPr>
        <w:pStyle w:val="ListBullet"/>
      </w:pPr>
      <w:r>
        <w:rPr>
          <w:rFonts w:ascii="微软雅黑" w:hAnsi="微软雅黑" w:eastAsia="微软雅黑"/>
        </w:rPr>
        <w:t>数据生命周期（5 年后自动归档）</w:t>
      </w:r>
    </w:p>
    <w:p>
      <w:pPr>
        <w:pStyle w:val="ListBullet"/>
      </w:pPr>
      <w:r>
        <w:rPr>
          <w:rFonts w:ascii="微软雅黑" w:hAnsi="微软雅黑" w:eastAsia="微软雅黑"/>
        </w:rPr>
        <w:t>GDPR/个人信息保护法合规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7. 部署架构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7.1 生产环境拓扑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┌──────────────┐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 用户客户端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└──────┬───────┘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HTTPS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┌──────────────┐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CloudFlare   │ (CDN + WAF)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 DNS 智能解析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└──────┬───────┘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┌─────────────┴─────────────┐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↓                            ↓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┌──────────────┐            ┌──────────────┐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阿里云主区    │            │  腾讯云备区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 (华东 2)     │ ←同步→     │   (上海 1)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└──────┬───────┘            └──────┬───────┘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          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┌─────────┼──────────┐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↓         ↓          ↓                ↓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┌──────┐ ┌──────┐  ┌──────┐         ┌──────┐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K8s  │ │ K8s  │  │ GPU  │         │ K8s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API  │ │数据   │  │ LLM  │         │ API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服务  │ │服务   │  │ 推理  │         │ 服务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└──┬───┘ └──┬───┘  └──┬───┘         └──┬───┘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      │         │        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└────────┴─────────┴────────────────┘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↓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┌──────────────┐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ClickHouse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PostgreSQL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MinIO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Redis        │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└──────────────┘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7.2 持续集成 / 持续部署 (CI/CD)</w:t>
      </w:r>
    </w:p>
    <w:p>
      <w:pPr>
        <w:pStyle w:val="Heading1"/>
      </w:pPr>
      <w:r>
        <w:rPr>
          <w:rFonts w:ascii="微软雅黑" w:hAnsi="微软雅黑" w:eastAsia="微软雅黑"/>
          <w:color w:val="0A0E27"/>
        </w:rPr>
        <w:t>GitLab CI 示例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stages:</w:t>
      </w:r>
    </w:p>
    <w:p>
      <w:pPr>
        <w:pStyle w:val="ListBullet"/>
      </w:pPr>
      <w:r>
        <w:rPr>
          <w:rFonts w:ascii="微软雅黑" w:hAnsi="微软雅黑" w:eastAsia="微软雅黑"/>
        </w:rPr>
        <w:t>test</w:t>
      </w:r>
    </w:p>
    <w:p>
      <w:pPr>
        <w:pStyle w:val="ListBullet"/>
      </w:pPr>
      <w:r>
        <w:rPr>
          <w:rFonts w:ascii="微软雅黑" w:hAnsi="微软雅黑" w:eastAsia="微软雅黑"/>
        </w:rPr>
        <w:t>build</w:t>
      </w:r>
    </w:p>
    <w:p>
      <w:pPr>
        <w:pStyle w:val="ListBullet"/>
      </w:pPr>
      <w:r>
        <w:rPr>
          <w:rFonts w:ascii="微软雅黑" w:hAnsi="微软雅黑" w:eastAsia="微软雅黑"/>
        </w:rPr>
        <w:t>deploy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test: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stage: test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script:</w:t>
      </w:r>
    </w:p>
    <w:p>
      <w:pPr>
        <w:pStyle w:val="ListBullet"/>
      </w:pPr>
      <w:r>
        <w:rPr>
          <w:rFonts w:ascii="微软雅黑" w:hAnsi="微软雅黑" w:eastAsia="微软雅黑"/>
        </w:rPr>
        <w:t>pytest tests/ --cov=80</w:t>
      </w:r>
    </w:p>
    <w:p>
      <w:pPr>
        <w:pStyle w:val="ListBullet"/>
      </w:pPr>
      <w:r>
        <w:rPr>
          <w:rFonts w:ascii="微软雅黑" w:hAnsi="微软雅黑" w:eastAsia="微软雅黑"/>
        </w:rPr>
        <w:t>mypy src/</w:t>
      </w:r>
    </w:p>
    <w:p>
      <w:pPr>
        <w:pStyle w:val="ListBullet"/>
      </w:pPr>
      <w:r>
        <w:rPr>
          <w:rFonts w:ascii="微软雅黑" w:hAnsi="微软雅黑" w:eastAsia="微软雅黑"/>
        </w:rPr>
        <w:t>pylint src/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build: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stage: build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script:</w:t>
      </w:r>
    </w:p>
    <w:p>
      <w:pPr>
        <w:pStyle w:val="ListBullet"/>
      </w:pPr>
      <w:r>
        <w:rPr>
          <w:rFonts w:ascii="微软雅黑" w:hAnsi="微软雅黑" w:eastAsia="微软雅黑"/>
        </w:rPr>
        <w:t>docker build -t quantinsight/api:$CI_COMMIT_SHA .</w:t>
      </w:r>
    </w:p>
    <w:p>
      <w:pPr>
        <w:pStyle w:val="ListBullet"/>
      </w:pPr>
      <w:r>
        <w:rPr>
          <w:rFonts w:ascii="微软雅黑" w:hAnsi="微软雅黑" w:eastAsia="微软雅黑"/>
        </w:rPr>
        <w:t>docker push registry.cn-shanghai.aliyuncs.com/quantinsight/api:$CI_COMMIT_SHA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deploy_staging: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stage: deploy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script:</w:t>
      </w:r>
    </w:p>
    <w:p>
      <w:pPr>
        <w:pStyle w:val="ListBullet"/>
      </w:pPr>
      <w:r>
        <w:rPr>
          <w:rFonts w:ascii="微软雅黑" w:hAnsi="微软雅黑" w:eastAsia="微软雅黑"/>
        </w:rPr>
        <w:t>kubectl set image deployment/api api=quantinsight/api:$CI_COMMIT_SHA -n staging</w:t>
      </w:r>
    </w:p>
    <w:p>
      <w:pPr>
        <w:pStyle w:val="ListBullet"/>
      </w:pPr>
      <w:r>
        <w:rPr>
          <w:rFonts w:ascii="微软雅黑" w:hAnsi="微软雅黑" w:eastAsia="微软雅黑"/>
        </w:rPr>
        <w:t>kubectl rollout status deployment/api -n staging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environment: staging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7.3 监控告警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技术监控：</w:t>
      </w:r>
    </w:p>
    <w:p>
      <w:pPr>
        <w:pStyle w:val="ListBullet"/>
      </w:pPr>
      <w:r>
        <w:rPr>
          <w:rFonts w:ascii="微软雅黑" w:hAnsi="微软雅黑" w:eastAsia="微软雅黑"/>
        </w:rPr>
        <w:t>Prometheus 采集（200+ 指标）</w:t>
      </w:r>
    </w:p>
    <w:p>
      <w:pPr>
        <w:pStyle w:val="ListBullet"/>
      </w:pPr>
      <w:r>
        <w:rPr>
          <w:rFonts w:ascii="微软雅黑" w:hAnsi="微软雅黑" w:eastAsia="微软雅黑"/>
        </w:rPr>
        <w:t>Grafana 仪表板（业务 + 系统）</w:t>
      </w:r>
    </w:p>
    <w:p>
      <w:pPr>
        <w:pStyle w:val="ListBullet"/>
      </w:pPr>
      <w:r>
        <w:rPr>
          <w:rFonts w:ascii="微软雅黑" w:hAnsi="微软雅黑" w:eastAsia="微软雅黑"/>
        </w:rPr>
        <w:t>AlertManager 告警（PagerDuty 集成）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业务监控：</w:t>
      </w:r>
    </w:p>
    <w:p>
      <w:pPr>
        <w:pStyle w:val="ListBullet"/>
      </w:pPr>
      <w:r>
        <w:rPr>
          <w:rFonts w:ascii="微软雅黑" w:hAnsi="微软雅黑" w:eastAsia="微软雅黑"/>
        </w:rPr>
        <w:t>每日用户活跃度</w:t>
      </w:r>
    </w:p>
    <w:p>
      <w:pPr>
        <w:pStyle w:val="ListBullet"/>
      </w:pPr>
      <w:r>
        <w:rPr>
          <w:rFonts w:ascii="微软雅黑" w:hAnsi="微软雅黑" w:eastAsia="微软雅黑"/>
        </w:rPr>
        <w:t>关键路径转化率</w:t>
      </w:r>
    </w:p>
    <w:p>
      <w:pPr>
        <w:pStyle w:val="ListBullet"/>
      </w:pPr>
      <w:r>
        <w:rPr>
          <w:rFonts w:ascii="微软雅黑" w:hAnsi="微软雅黑" w:eastAsia="微软雅黑"/>
        </w:rPr>
        <w:t>异常交易模式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8. API 设计示例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8.1 REST API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POST /api/v1/backtest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Content-Type: application/json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Authorization: Bearer &lt;token&gt;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{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"strategy": "DualMA",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"index": "HS300",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"start_date": "2020-01-01",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"end_date": "2026-06-05",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"params": {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"fast_ma": 20,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"slow_ma": 60,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"fee": 0.0015,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"slippage": 0.001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}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}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Response 200 OK: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{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"backtest_id": "bt_20260606_abc123",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"status": "completed",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"metrics": {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"annual_return": 0.0029,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"sharpe_ratio": -0.18,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"max_drawdown": -0.32,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"win_rate": 0.51,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"turnover": 4.5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},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"nav_curve_url": "/api/v1/backtest/bt_20260606_abc123/nav.csv"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}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8.2 Python SDK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from quantinsight import Backtest, Strategy</w:t>
      </w:r>
    </w:p>
    <w:p>
      <w:pPr>
        <w:pStyle w:val="Heading1"/>
      </w:pPr>
      <w:r>
        <w:rPr>
          <w:rFonts w:ascii="微软雅黑" w:hAnsi="微软雅黑" w:eastAsia="微软雅黑"/>
          <w:color w:val="0A0E27"/>
        </w:rPr>
        <w:t>简单回测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result = Backtest.run(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strategy="DualMA",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index="HS300",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start="2020-01-01",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end="2026-06-05",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fee=0.0015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)</w:t>
      </w:r>
    </w:p>
    <w:p>
      <w:pPr>
        <w:pStyle w:val="Heading1"/>
      </w:pPr>
      <w:r>
        <w:rPr>
          <w:rFonts w:ascii="微软雅黑" w:hAnsi="微软雅黑" w:eastAsia="微软雅黑"/>
          <w:color w:val="0A0E27"/>
        </w:rPr>
        <w:t>自定义策略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class MyStrategy(Strategy):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def init(self):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self.ma20 = self.I(lambda: self.data.close.rolling(20).mean())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self.ma60 = self.I(lambda: self.data.close.rolling(60).mean())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def next(self):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if self.ma20[-1] &gt; self.ma60[-1] and not self.position: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self.buy()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elif self.ma20[-1] &lt; self.ma60[-1] and self.position: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self.sell()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result = Backtest.run(MyStrategy, data=hs300_data, cash=1_000_000)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8.3 AI 问答 API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POST /api/v1/ask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Content-Type: application/json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Authorization: Bearer &lt;token&gt;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{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"question": "近期 A 股市场最值得关注的 3 个行业是什么？",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"context": {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"industry": "all",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"horizon": "1_month"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}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}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Response 200 OK: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{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"answer": "根据最近 30 天的数据，3 个最值得关注的行业是...",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"confidence": 0.85,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"sources": [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{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"type": "industry_report",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"title": "2026 年 5 月半导体行业跟踪",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"date": "2026-05-28",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"url": "/docs/industry/2026_05_semi.pdf"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},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{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"type": "sentiment",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"summary": "AI 行业情感分数 0.92, 周环比 +12%",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"date": "2026-06-05"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}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],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"disclaimer": "本回答基于公开数据，不构成投资建议"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}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9. 测试与质量保证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9.1 测试金字塔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┌─────┐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E2E │  5%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└──┬──┘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┌────┴────┐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│Integration│  25%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└────┬────┘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┌────────┴────────┐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│   Unit Tests    │  70%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└────────────────┘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9.2 关键测试场景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测试类型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覆盖率目标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量化引擎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数值精度对比 (vs Zipline/Backtrader)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95%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AI 问答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人类盲评 100+ 问题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准确率 &gt;75%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风控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极端行情回放 (2008/2015/2020)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100%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性能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压力测试 (500 并发)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P99 &lt; 3s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00D4FF"/>
        </w:rPr>
        <w:t>9.3 持续集成</w:t>
      </w:r>
    </w:p>
    <w:p>
      <w:pPr>
        <w:pStyle w:val="ListBullet"/>
      </w:pPr>
      <w:r>
        <w:rPr>
          <w:rFonts w:ascii="微软雅黑" w:hAnsi="微软雅黑" w:eastAsia="微软雅黑"/>
        </w:rPr>
        <w:t>每次 PR 触发：单元测试 + 集成测试</w:t>
      </w:r>
    </w:p>
    <w:p>
      <w:pPr>
        <w:pStyle w:val="ListBullet"/>
      </w:pPr>
      <w:r>
        <w:rPr>
          <w:rFonts w:ascii="微软雅黑" w:hAnsi="微软雅黑" w:eastAsia="微软雅黑"/>
        </w:rPr>
        <w:t>每日触发：端到端测试 + 性能测试</w:t>
      </w:r>
    </w:p>
    <w:p>
      <w:pPr>
        <w:pStyle w:val="ListBullet"/>
      </w:pPr>
      <w:r>
        <w:rPr>
          <w:rFonts w:ascii="微软雅黑" w:hAnsi="微软雅黑" w:eastAsia="微软雅黑"/>
        </w:rPr>
        <w:t>每周触发：安全扫描 + 依赖审计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9.4 缺陷率目标</w:t>
      </w:r>
    </w:p>
    <w:p>
      <w:pPr>
        <w:pStyle w:val="ListBullet"/>
      </w:pPr>
      <w:r>
        <w:rPr>
          <w:rFonts w:ascii="微软雅黑" w:hAnsi="微软雅黑" w:eastAsia="微软雅黑"/>
        </w:rPr>
        <w:t>生产环境 P0 缺陷：&lt; 1 个/季度</w:t>
      </w:r>
    </w:p>
    <w:p>
      <w:pPr>
        <w:pStyle w:val="ListBullet"/>
      </w:pPr>
      <w:r>
        <w:rPr>
          <w:rFonts w:ascii="微软雅黑" w:hAnsi="微软雅黑" w:eastAsia="微软雅黑"/>
        </w:rPr>
        <w:t>平均修复时间 (MTTR) &lt; 4 小时</w:t>
      </w:r>
    </w:p>
    <w:p>
      <w:pPr>
        <w:pStyle w:val="ListBullet"/>
      </w:pPr>
      <w:r>
        <w:rPr>
          <w:rFonts w:ascii="微软雅黑" w:hAnsi="微软雅黑" w:eastAsia="微软雅黑"/>
        </w:rPr>
        <w:t>平均故障间隔 (MTBF) &gt; 720 小时</w:t>
      </w:r>
    </w:p>
    <w:p>
      <w:pPr>
        <w:pStyle w:val="Heading2"/>
      </w:pPr>
      <w:r>
        <w:rPr>
          <w:rFonts w:ascii="微软雅黑" w:hAnsi="微软雅黑" w:eastAsia="微软雅黑"/>
          <w:color w:val="00D4FF"/>
        </w:rPr>
        <w:t>10. 技术路线图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10.1 短期 (2026 Q3-Q4)</w:t>
      </w:r>
    </w:p>
    <w:p>
      <w:pPr>
        <w:pStyle w:val="ListBullet"/>
      </w:pPr>
      <w:r>
        <w:rPr>
          <w:rFonts w:ascii="微软雅黑" w:hAnsi="微软雅黑" w:eastAsia="微软雅黑"/>
        </w:rPr>
        <w:t>[ ] V1.0 正式发布 (推荐单位永字资管试点)</w:t>
      </w:r>
    </w:p>
    <w:p>
      <w:pPr>
        <w:pStyle w:val="ListBullet"/>
      </w:pPr>
      <w:r>
        <w:rPr>
          <w:rFonts w:ascii="微软雅黑" w:hAnsi="微软雅黑" w:eastAsia="微软雅黑"/>
        </w:rPr>
        <w:t>[ ] 接入 DeepSeek/Qwen API 备用通道</w:t>
      </w:r>
    </w:p>
    <w:p>
      <w:pPr>
        <w:pStyle w:val="ListBullet"/>
      </w:pPr>
      <w:r>
        <w:rPr>
          <w:rFonts w:ascii="微软雅黑" w:hAnsi="微软雅黑" w:eastAsia="微软雅黑"/>
        </w:rPr>
        <w:t>[ ] 增加 ETF/可转债品种</w:t>
      </w:r>
    </w:p>
    <w:p>
      <w:pPr>
        <w:pStyle w:val="ListBullet"/>
      </w:pPr>
      <w:r>
        <w:rPr>
          <w:rFonts w:ascii="微软雅黑" w:hAnsi="微软雅黑" w:eastAsia="微软雅黑"/>
        </w:rPr>
        <w:t>[ ] 多账户管理功能</w:t>
      </w:r>
    </w:p>
    <w:p>
      <w:pPr>
        <w:pStyle w:val="ListBullet"/>
      </w:pPr>
      <w:r>
        <w:rPr>
          <w:rFonts w:ascii="微软雅黑" w:hAnsi="微软雅黑" w:eastAsia="微软雅黑"/>
        </w:rPr>
        <w:t>[ ] Excel Add-in 插件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10.2 中期 (2027 H1-H2)</w:t>
      </w:r>
    </w:p>
    <w:p>
      <w:pPr>
        <w:pStyle w:val="ListBullet"/>
      </w:pPr>
      <w:r>
        <w:rPr>
          <w:rFonts w:ascii="微软雅黑" w:hAnsi="微软雅黑" w:eastAsia="微软雅黑"/>
        </w:rPr>
        <w:t>[ ] V2.0 多策略组合优化</w:t>
      </w:r>
    </w:p>
    <w:p>
      <w:pPr>
        <w:pStyle w:val="ListBullet"/>
      </w:pPr>
      <w:r>
        <w:rPr>
          <w:rFonts w:ascii="微软雅黑" w:hAnsi="微软雅黑" w:eastAsia="微软雅黑"/>
        </w:rPr>
        <w:t>[ ] 自研因子库扩展到 100+</w:t>
      </w:r>
    </w:p>
    <w:p>
      <w:pPr>
        <w:pStyle w:val="ListBullet"/>
      </w:pPr>
      <w:r>
        <w:rPr>
          <w:rFonts w:ascii="微软雅黑" w:hAnsi="微软雅黑" w:eastAsia="微软雅黑"/>
        </w:rPr>
        <w:t>[ ] 移动端 App (iOS/Android)</w:t>
      </w:r>
    </w:p>
    <w:p>
      <w:pPr>
        <w:pStyle w:val="ListBullet"/>
      </w:pPr>
      <w:r>
        <w:rPr>
          <w:rFonts w:ascii="微软雅黑" w:hAnsi="微软雅黑" w:eastAsia="微软雅黑"/>
        </w:rPr>
        <w:t>[ ] 行业研究 AI 助手 (特定行业深度分析)</w:t>
      </w:r>
    </w:p>
    <w:p>
      <w:pPr>
        <w:pStyle w:val="ListBullet"/>
      </w:pPr>
      <w:r>
        <w:rPr>
          <w:rFonts w:ascii="微软雅黑" w:hAnsi="微软雅黑" w:eastAsia="微软雅黑"/>
        </w:rPr>
        <w:t>[ ] Webhook 集成 (实时信号推送)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10.3 长期 (2028-2030)</w:t>
      </w:r>
    </w:p>
    <w:p>
      <w:pPr>
        <w:pStyle w:val="ListBullet"/>
      </w:pPr>
      <w:r>
        <w:rPr>
          <w:rFonts w:ascii="微软雅黑" w:hAnsi="微软雅黑" w:eastAsia="微软雅黑"/>
        </w:rPr>
        <w:t>[ ] V3.0 智能投顾 (限定版本，仅信号不代客)</w:t>
      </w:r>
    </w:p>
    <w:p>
      <w:pPr>
        <w:pStyle w:val="ListBullet"/>
      </w:pPr>
      <w:r>
        <w:rPr>
          <w:rFonts w:ascii="微软雅黑" w:hAnsi="微软雅黑" w:eastAsia="微软雅黑"/>
        </w:rPr>
        <w:t>[ ] 联邦学习 (客户间数据不出域联合建模)</w:t>
      </w:r>
    </w:p>
    <w:p>
      <w:pPr>
        <w:pStyle w:val="ListBullet"/>
      </w:pPr>
      <w:r>
        <w:rPr>
          <w:rFonts w:ascii="微软雅黑" w:hAnsi="微软雅黑" w:eastAsia="微软雅黑"/>
        </w:rPr>
        <w:t>[ ] 区块链审计 (不可篡改操作记录)</w:t>
      </w:r>
    </w:p>
    <w:p>
      <w:pPr>
        <w:pStyle w:val="ListBullet"/>
      </w:pPr>
      <w:r>
        <w:rPr>
          <w:rFonts w:ascii="微软雅黑" w:hAnsi="微软雅黑" w:eastAsia="微软雅黑"/>
        </w:rPr>
        <w:t>[ ] 多语言版本 (英文/日文)</w:t>
      </w:r>
    </w:p>
    <w:p>
      <w:pPr>
        <w:pStyle w:val="ListBullet"/>
      </w:pPr>
      <w:r>
        <w:rPr>
          <w:rFonts w:ascii="微软雅黑" w:hAnsi="微软雅黑" w:eastAsia="微软雅黑"/>
        </w:rPr>
        <w:t>[ ] 国际化 (东南亚/中东市场)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10.4 技术债清单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任务</w:t>
            </w:r>
          </w:p>
        </w:tc>
        <w:tc>
          <w:tcPr>
            <w:tcW w:type="dxa" w:w="3022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影响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P1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ClickHouse 集群监控完善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性能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P1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LLM 推理优化 (KV cache)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成本 -40%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P2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微服务链路追踪 (OpenTelemetry)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可观测性</w:t>
            </w:r>
          </w:p>
        </w:tc>
      </w:tr>
      <w:tr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P2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单元测试覆盖率 80% → 90%</w:t>
            </w:r>
          </w:p>
        </w:tc>
        <w:tc>
          <w:tcPr>
            <w:tcW w:type="dxa" w:w="302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质量</w:t>
            </w:r>
          </w:p>
        </w:tc>
      </w:tr>
      <w:tr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P3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内部文档站 (Backstage)</w:t>
            </w:r>
          </w:p>
        </w:tc>
        <w:tc>
          <w:tcPr>
            <w:tcW w:type="dxa" w:w="3022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协作效率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00D4FF"/>
        </w:rPr>
        <w:t>11. 附录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11.1 技术栈详细清单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编程语言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Python 3.12, TypeScript 5, Go 1.22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Web 框架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FastAPI, React 18, Next.js 14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数据库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ClickHouse 23.x, PostgreSQL 14, Redis 7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消息队列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Apache Kafka 3.5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容器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Docker 24, Kubernetes 1.28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LLM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基于开源大模型(6-7B参数)微调 + Hugging Face Transformers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监控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Prometheus 2.45, Grafana 10, ELK 8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CI/CD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GitLab CI, ArgoCD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云服务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阿里云 (主), 腾讯云 (备)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00D4FF"/>
        </w:rPr>
        <w:t>11.2 关键依赖项</w:t>
      </w:r>
    </w:p>
    <w:p>
      <w:pPr>
        <w:pStyle w:val="Heading1"/>
      </w:pPr>
      <w:r>
        <w:rPr>
          <w:rFonts w:ascii="微软雅黑" w:hAnsi="微软雅黑" w:eastAsia="微软雅黑"/>
          <w:color w:val="0A0E27"/>
        </w:rPr>
        <w:t>requirements.txt (核心)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pandas==2.1.4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numpy==1.26.2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scipy==1.11.4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scikit-learn==1.3.2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torch==2.1.1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transformers==4.36.0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akshare==1.12.51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streamlit==1.29.0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fastapi==0.104.1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clickhouse-driver==0.2.7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psycopg2-binary==2.9.9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11.3 关键论文参考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1. FinBERT: Yang et al. (2020) - 金融情感分析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2. BloombergGPT: Wu et al. (2023) - 金融大模型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3. CSCV: Bailey &amp; López de Prado (2017) - 回测过拟合检测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4. Deflated Sharpe: Bailey &amp; López de Prado (2014) - 缩减夏普比率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5. Brinson: Brinson et al. (1986) - 业绩归因</w:t>
      </w:r>
    </w:p>
    <w:p>
      <w:pPr>
        <w:pStyle w:val="Heading3"/>
      </w:pPr>
      <w:r>
        <w:rPr>
          <w:rFonts w:ascii="微软雅黑" w:hAnsi="微软雅黑" w:eastAsia="微软雅黑"/>
          <w:color w:val="00D4FF"/>
        </w:rPr>
        <w:t>11.4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术语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alpha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超额收益（相对基准）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beta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系统性风险敞口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Sharpe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夏普比率 = (收益-无风险)/波动率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VaR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Value at Risk, 在险价值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RAG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Retrieval-Augmented Generation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CSCV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Combinatorial Symmetric Cross-Validation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LLM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Large Language Model, 大语言模型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00D4FF"/>
        </w:rPr>
        <w:t>11.5 团队技术分工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成员</w:t>
            </w:r>
          </w:p>
        </w:tc>
        <w:tc>
          <w:tcPr>
            <w:tcW w:type="dxa" w:w="4533"/>
            <w:shd w:fill="0A0E2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技术职责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冯亦根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首席科学家，量化策略把控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王宇寒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后端开发，LLM 调优，数据管道</w:t>
            </w:r>
          </w:p>
        </w:tc>
      </w:tr>
      <w:tr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官馨</w:t>
            </w:r>
          </w:p>
        </w:tc>
        <w:tc>
          <w:tcPr>
            <w:tcW w:type="dxa" w:w="4533"/>
            <w:shd w:fill="E8F4FC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产品设计，数据策略与客户研究</w:t>
            </w:r>
          </w:p>
        </w:tc>
      </w:tr>
      <w:tr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梁理智</w:t>
            </w:r>
          </w:p>
        </w:tc>
        <w:tc>
          <w:tcPr>
            <w:tcW w:type="dxa" w:w="4533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9"/>
              </w:rPr>
              <w:t>量化策略，运营交付与合规执行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00D4FF"/>
        </w:rPr>
        <w:t>联系与反馈</w:t>
      </w:r>
    </w:p>
    <w:p>
      <w:pPr>
        <w:pStyle w:val="ListBullet"/>
      </w:pPr>
      <w:r>
        <w:rPr>
          <w:rFonts w:ascii="微软雅黑" w:hAnsi="微软雅黑" w:eastAsia="微软雅黑"/>
        </w:rPr>
        <w:t>**技术反馈**：tech@quantinsight.pro</w:t>
      </w:r>
    </w:p>
    <w:p>
      <w:pPr>
        <w:pStyle w:val="ListBullet"/>
      </w:pPr>
      <w:r>
        <w:rPr>
          <w:rFonts w:ascii="微软雅黑" w:hAnsi="微软雅黑" w:eastAsia="微软雅黑"/>
        </w:rPr>
        <w:t>**合作咨询**：contact@quantinsight.pro</w:t>
      </w:r>
    </w:p>
    <w:p>
      <w:pPr>
        <w:pStyle w:val="ListBullet"/>
      </w:pPr>
      <w:r>
        <w:rPr>
          <w:rFonts w:ascii="微软雅黑" w:hAnsi="微软雅黑" w:eastAsia="微软雅黑"/>
        </w:rPr>
        <w:t>**GitHub**：(即将上线)</w:t>
      </w:r>
    </w:p>
    <w:p>
      <w:pPr>
        <w:pStyle w:val="ListBullet"/>
      </w:pPr>
      <w:r>
        <w:rPr>
          <w:rFonts w:ascii="微软雅黑" w:hAnsi="微软雅黑" w:eastAsia="微软雅黑"/>
        </w:rPr>
        <w:t>**项目主页**：[即将更新]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文档版本：V1.0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最后更新：2026 年 6 月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下次更新：V1.1 (2026 Q3)</w:t>
      </w:r>
    </w:p>
    <w:p>
      <w:pPr>
        <w:spacing w:lineRule="auto" w:line="324" w:after="120"/>
      </w:pPr>
      <w:r>
        <w:rPr>
          <w:rFonts w:ascii="微软雅黑" w:hAnsi="微软雅黑" w:eastAsia="微软雅黑"/>
          <w:sz w:val="21"/>
        </w:rPr>
        <w:t>本文档采用 CC BY-NC-SA 4.0 协议，转载请注明出处。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