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A0E27"/>
          <w:sz w:val="44"/>
        </w:rPr>
        <w:t>POC 实验报告</w:t>
      </w:r>
    </w:p>
    <w:p>
      <w:pPr>
        <w:jc w:val="center"/>
      </w:pPr>
      <w:r>
        <w:rPr>
          <w:rFonts w:ascii="微软雅黑" w:hAnsi="微软雅黑" w:eastAsia="微软雅黑"/>
          <w:color w:val="00D4FF"/>
          <w:sz w:val="24"/>
        </w:rPr>
        <w:t>HS300 多策略回测 · T35 修正版</w:t>
      </w:r>
    </w:p>
    <w:p>
      <w:pPr>
        <w:jc w:val="center"/>
      </w:pPr>
      <w:r>
        <w:rPr>
          <w:color w:val="666666"/>
          <w:sz w:val="18"/>
        </w:rPr>
        <w:t>项目编号 2026FINTECH-FINT-0093 · AFAC2026 初创组 · 2026年07月07日</w:t>
      </w:r>
    </w:p>
    <w:p/>
    <w:p>
      <w:pPr>
        <w:pStyle w:val="Heading1"/>
      </w:pPr>
      <w:r>
        <w:rPr>
          <w:rFonts w:ascii="微软雅黑" w:hAnsi="微软雅黑" w:eastAsia="微软雅黑"/>
          <w:color w:val="0A0E27"/>
        </w:rPr>
        <w:t>实验概述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项目 2026FINTECH-FINT-0093 · 数据源 akshare · 引擎 streamlit_app/backtest_engine.py (MIT License) · 区间 2015-01-01 至 2026-06-05（11.4 年）</w:t>
      </w:r>
    </w:p>
    <w:p>
      <w:pPr>
        <w:pStyle w:val="Heading1"/>
      </w:pPr>
      <w:r>
        <w:rPr>
          <w:rFonts w:ascii="微软雅黑" w:hAnsi="微软雅黑" w:eastAsia="微软雅黑"/>
          <w:color w:val="0A0E27"/>
        </w:rPr>
        <w:t>五策略对比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701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1701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年化收益</w:t>
            </w:r>
          </w:p>
        </w:tc>
        <w:tc>
          <w:tcPr>
            <w:tcW w:type="dxa" w:w="1417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夏普</w:t>
            </w:r>
          </w:p>
        </w:tc>
        <w:tc>
          <w:tcPr>
            <w:tcW w:type="dxa" w:w="1701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最大回撤</w:t>
            </w:r>
          </w:p>
        </w:tc>
        <w:tc>
          <w:tcPr>
            <w:tcW w:type="dxa" w:w="1417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交易次数</w:t>
            </w:r>
          </w:p>
        </w:tc>
      </w:tr>
      <w:tr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买入持有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5.46%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0.35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-72.3%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双均线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6.57%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0.48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-49.39%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109</w:t>
            </w:r>
          </w:p>
        </w:tc>
      </w:tr>
      <w:tr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多因子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8.56%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0.63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-38.33%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407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动量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8.13%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0.57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-39.66%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255</w:t>
            </w:r>
          </w:p>
        </w:tc>
      </w:tr>
      <w:tr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均值回归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-13.49%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-0.99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-97.33%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1184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391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trateg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39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图1 五策略绩效对比柱状图</w:t>
      </w:r>
    </w:p>
    <w:p/>
    <w:p>
      <w:pPr>
        <w:pStyle w:val="Heading1"/>
      </w:pPr>
      <w:r>
        <w:rPr>
          <w:rFonts w:ascii="微软雅黑" w:hAnsi="微软雅黑" w:eastAsia="微软雅黑"/>
          <w:color w:val="0A0E27"/>
        </w:rPr>
        <w:t>结论</w:t>
      </w:r>
    </w:p>
    <w:p>
      <w:pPr>
        <w:pStyle w:val="ListBullet"/>
      </w:pPr>
      <w:r>
        <w:rPr>
          <w:rFonts w:ascii="微软雅黑" w:hAnsi="微软雅黑" w:eastAsia="微软雅黑"/>
        </w:rPr>
        <w:t>多因子策略年化 8.56%，相对买入持有超额 3.10%，回撤改善 33.97%。</w:t>
      </w:r>
    </w:p>
    <w:p>
      <w:pPr>
        <w:pStyle w:val="ListBullet"/>
      </w:pPr>
      <w:r>
        <w:rPr>
          <w:rFonts w:ascii="微软雅黑" w:hAnsi="微软雅黑" w:eastAsia="微软雅黑"/>
        </w:rPr>
        <w:t>均值回归策略在 A 股长期下跌段失效，不推荐作为核心策略。</w:t>
      </w:r>
    </w:p>
    <w:p>
      <w:pPr>
        <w:pStyle w:val="ListBullet"/>
      </w:pPr>
      <w:r>
        <w:rPr>
          <w:rFonts w:ascii="微软雅黑" w:hAnsi="微软雅黑" w:eastAsia="微软雅黑"/>
        </w:rPr>
        <w:t>T30早期报告多因子年化19.22%，T35引擎修正为8.56%。以本文件为准。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