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商业计划书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title: QuantInsight Pro 商业计划书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competition: AFAC2026 金融智能创新大赛 · 初创组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project_id: 2026FINTECH-FINT-0093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demo_url: https://3blue1brownlab.cn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version: AFAC Submission 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date: 2026年7月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QuantInsight Pro 商业计划书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AI 驱动的另类数据量化投研平台 · SHAP 可解释性深度集成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项目信息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**项目名称**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QuantInsight Pro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**项目编号**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2026FINTECH-FINT-0093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**参赛组别**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AFAC2026 初创组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**编制单位**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慧点资本 (InsightQuant) 量化研究部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**推荐单位**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 Demo**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https://3blue1brownlab.cn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**编制日期**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年 7 月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[执行摘要](#1-执行摘要)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[市场分析](#2-市场分析)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[产品与技术方案](#3-产品与技术方案)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[商业模式](#4-商业模式)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[团队介绍](#5-团队介绍)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[财务预测](#6-财务预测)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7. [风险评估](#7-风险评估)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8. [落地案例](#8-落地案例)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9. [附录](#9-附录)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1. 执行摘要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1.1 项目概述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是面向专业机构投资者的新一代 资管科技 (AssetTech) 平台。产品整合另类数据（财报/公告/舆情/产业链/消费行为）、基于开源大模型（DeepSeek/Qwen）微调 + RAG 的金融投研智能体，以及开源可复现的量化回测引擎，为 9 类机构投资者提供 数据 + 模型 + 策略 + 合规 的一站式智能投研解决方案。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核心差异化：业内首家将 SHAP 可解释性 深度集成到 A 股智能选股流程的 AI 投研平台，满足算法备案与客户沟通双重需求。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1.2 核心价值主张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**让量化投资更智能，让另类数据更普惠，让 AI 决策可解释**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**技术壁垒**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投研智能体 + SHAP 17 因子可解释 + 5 类另类数据融合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**数据优势**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多源备份（Wind/同花顺/akshare/聚源/通联）+ 11.4 年真实回测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**产品形态**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云原生 SaaS + 私有化部署 + 监管沙盒合规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**本土化**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中文金融语境 + A 股市场适配 + 学术合作背书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1.3 市场定位</w:t>
      </w:r>
    </w:p>
    <w:p>
      <w:pPr>
        <w:pStyle w:val="ListBullet"/>
      </w:pPr>
      <w:r>
        <w:rPr>
          <w:rFonts w:ascii="微软雅黑" w:hAnsi="微软雅黑" w:eastAsia="微软雅黑"/>
        </w:rPr>
        <w:t>**目标客户**：9 类机构（中小私募/银行理财子/券商资管/信托/保险资管/公募/高校/上市公司 IR/战略合作），总目标市场 1.5 万+ 家</w:t>
      </w:r>
    </w:p>
    <w:p>
      <w:pPr>
        <w:pStyle w:val="ListBullet"/>
      </w:pPr>
      <w:r>
        <w:rPr>
          <w:rFonts w:ascii="微软雅黑" w:hAnsi="微软雅黑" w:eastAsia="微软雅黑"/>
        </w:rPr>
        <w:t>**市场规模**：中国资管行业 200 万亿+，资管科技渗透率 &lt; 5%，5 年 CAGR 30–40%</w:t>
      </w:r>
    </w:p>
    <w:p>
      <w:pPr>
        <w:pStyle w:val="ListBullet"/>
      </w:pPr>
      <w:r>
        <w:rPr>
          <w:rFonts w:ascii="微软雅黑" w:hAnsi="微软雅黑" w:eastAsia="微软雅黑"/>
        </w:rPr>
        <w:t>**竞争定位**：聚焦中小私募长尾市场 + AI 可解释投研 + 学术背书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1.4 关键里程碑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当前 (2026)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客户数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营收 (亿元)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0.20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2.01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7.95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净利润 (亿元)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-0.18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0.29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1.98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 (人)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280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1.5 融资与退出</w:t>
      </w:r>
    </w:p>
    <w:p>
      <w:pPr>
        <w:pStyle w:val="ListBullet"/>
      </w:pPr>
      <w:r>
        <w:rPr>
          <w:rFonts w:ascii="微软雅黑" w:hAnsi="微软雅黑" w:eastAsia="微软雅黑"/>
        </w:rPr>
        <w:t>**5 轮融资 4.35 亿**：天使 500 万 → Pre-A 3000 万 → A 1 亿 → B 3 亿 → Pre-IPO</w:t>
      </w:r>
    </w:p>
    <w:p>
      <w:pPr>
        <w:pStyle w:val="ListBullet"/>
      </w:pPr>
      <w:r>
        <w:rPr>
          <w:rFonts w:ascii="微软雅黑" w:hAnsi="微软雅黑" w:eastAsia="微软雅黑"/>
        </w:rPr>
        <w:t>**估值路径**：5 亿 → 3 亿 → 8 亿 → 20 亿 → 40–50 亿</w:t>
      </w:r>
    </w:p>
    <w:p>
      <w:pPr>
        <w:pStyle w:val="ListBullet"/>
      </w:pPr>
      <w:r>
        <w:rPr>
          <w:rFonts w:ascii="微软雅黑" w:hAnsi="微软雅黑" w:eastAsia="微软雅黑"/>
        </w:rPr>
        <w:t>**退出**：60 月启动 IPO（科创板/北交所），基准 IRR 28%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2. 市场分析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 行业背景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中国资管行业 2025 年总规模 200 万亿+，机构投资者占比持续提升。资管新规后净值化转型深化，银行理财子、养老金融、公募 REITs 成为新增长极。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资管科技渗透率 &lt; 5%（远低于零售金融科技 30%+）。头部机构 IT 投入 5–10 亿/年，中小机构不足 100 万——5000+ 中小私募的"长尾资管科技"市场被 Wind/同花顺长期忽视。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2.2 关键趋势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AI 大模型应用：DeepSeek/Qwen 等开源模型降低 AI 应用门槛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另类数据爆发：卫星图像/供应链/舆情成为差异化竞争关键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监管沙盒落地：北京/上海/深圳/海南自贸港试点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算法可解释性：证监会算法备案要求推动 SHAP 等可解释 AI 需求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2.3 市场痛点（9 类机构）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核心痛点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痛点强度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中小私募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数据贵/AI 不会用/合规压力大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净值化转型/另类数据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资管新规/智能风控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信托公司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证券投资能力弱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保险资管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长周期资产配置/另类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公募基金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投研效率/Alpha 衰减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高校研究所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实证研究/数据获取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上市公司 IR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投资者关系/舆情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资源对接/生态共建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2.4 竞争格局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竞争对手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优势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劣势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QuantInsight Pro 差异化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Wind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品牌强、数据全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弱、贵 (80–300 万/年)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智能体 + 价格 -50%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同花顺 iFinD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双覆盖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机构级弱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中小私募深度 + SHAP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恒生电子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基础设施龙头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转型慢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垂直场景、灵活定价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**QuantInsight Pro**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+ SHAP + 9 类客户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品牌初期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差异化蓝海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2.5 市场机会</w:t>
      </w:r>
    </w:p>
    <w:p>
      <w:pPr>
        <w:pStyle w:val="ListBullet"/>
      </w:pPr>
      <w:r>
        <w:rPr>
          <w:rFonts w:ascii="微软雅黑" w:hAnsi="微软雅黑" w:eastAsia="微软雅黑"/>
        </w:rPr>
        <w:t>**结构性蓝海**：5000+ 中小私募，客单价 50–200 万/年</w:t>
      </w:r>
    </w:p>
    <w:p>
      <w:pPr>
        <w:pStyle w:val="ListBullet"/>
      </w:pPr>
      <w:r>
        <w:rPr>
          <w:rFonts w:ascii="微软雅黑" w:hAnsi="微软雅黑" w:eastAsia="微软雅黑"/>
        </w:rPr>
        <w:t>**AI 投研窗口**：90% 业内机构无 AI 投研智能体，12–18 月技术窗口</w:t>
      </w:r>
    </w:p>
    <w:p>
      <w:pPr>
        <w:pStyle w:val="ListBullet"/>
      </w:pPr>
      <w:r>
        <w:rPr>
          <w:rFonts w:ascii="微软雅黑" w:hAnsi="微软雅黑" w:eastAsia="微软雅黑"/>
        </w:rPr>
        <w:t>**可解释 AI**：算法备案刚需，SHAP 集成形成合规壁垒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3. 产品与技术方案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3.1 产品定位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面向专业机构投资者的 SaaS 化智能投研平台，核心差异化为 AI 投研智能体 + SHAP 可解释性 + 5 类另类数据 + 开源回测引擎。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在线 Demo：https://3blue1brownlab.cn（8 大功能模块，真实可运行）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3.2 核心功能模块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Demo 状态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**智能选股**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因子综合评分 + Top10 推荐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**SHAP 解读**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 类 SHAP 图 + 17 因子归因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业内独家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**AI 投研问答**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数据接地 + Qwen 解读 + 引用溯源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4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**量化策略回测**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策略 + 11.4 年 HS300 真实数据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开源引擎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**智能盯盘**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7×24 涨跌停预警 + 异动监控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6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**模拟交易**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 股实时模拟 + 3 层 fallback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7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**自动报告**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 段式周报 + Word/PDF 导出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8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**实时数据看板**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大盘卡片 + 北向资金热力图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V2 已上线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3.3 六层技术架构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应用层   投研终端 | 移动 App | API 接口 | 数据可视化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智能体层  投研助手 | 因子挖掘 | 智能问答 | 自动报告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服务层   AI 引擎 | 策略引擎 | 风控引擎 | SHAP 解释器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数据层   5 大数据源 + 知识图谱 + 自研 17 因子库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算法层   XGBoost | SHAP TreeExplainer | RAG | 回测引擎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基础设施  云原生 | 弹性算力 | 实时数据流 | 零信任安全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3.4 技术亮点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技术领域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创新点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业内对比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**SHAP 可解释性**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TreeExplainer 深度集成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业内 95% 无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**AI 大模型**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金融领域微调 + 智能体编排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90% 业内无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**另类数据**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类融合 + 多源备份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 仅 1–2 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**回测引擎**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 MIT + 7 单元测试 100% 通过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黑盒为主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**合规引擎**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自动报送 + 监管沙盒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通用方案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3.5 回测验证（T35 修正数据）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沪深 300 · 11.4 年 (2015-01 ~ 2026-06)：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年化收益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夏普比率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最大回撤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交易次数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买入持有 (基准)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双均线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6.57%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0.48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-49.39%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109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**多因子 (核心)**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**8.56%**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**0.63**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**-38.33%**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动量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8.13%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0.57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-39.66%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255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注：早期版本曾报告多因子年化 19.22%，经 T35 开源引擎修正为 8.56%。团队主动修正，不夸大也不掩饰。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3.6 技术路线图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**MVP**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H2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客户上线，AI 智能体 V1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**成长**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2027–2028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 客户，SHAP + 另类数据 V2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**领先**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2029–2030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 客户，行业 Top 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4. 商业模式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4.1 收入模式（5 大类）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 占比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**SaaS 订阅**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70%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30–200 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定制开发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100–500 万/项目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 API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按次计费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投研培训 + 咨询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5–20 万/期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框架协议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4.2 定价矩阵（9 类客户）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总价 (万/年)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典型模块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中小私募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选股 + SHAP + 回测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全模块 + 定制风控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 + 合规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高校研究所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学术版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框架协议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试点 + 生态共建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4.3 销售策略</w:t>
      </w:r>
    </w:p>
    <w:p>
      <w:pPr>
        <w:pStyle w:val="ListBullet"/>
      </w:pPr>
      <w:r>
        <w:rPr>
          <w:rFonts w:ascii="微软雅黑" w:hAnsi="微软雅黑" w:eastAsia="微软雅黑"/>
        </w:rPr>
        <w:t>**直销团队**：2030 年 80 人，覆盖银行/保险/公募</w:t>
      </w:r>
    </w:p>
    <w:p>
      <w:pPr>
        <w:pStyle w:val="ListBullet"/>
      </w:pPr>
      <w:r>
        <w:rPr>
          <w:rFonts w:ascii="微软雅黑" w:hAnsi="微软雅黑" w:eastAsia="微软雅黑"/>
        </w:rPr>
        <w:t>**渠道合作**：券商/银行/律所 BD 联盟</w:t>
      </w:r>
    </w:p>
    <w:p>
      <w:pPr>
        <w:pStyle w:val="ListBullet"/>
      </w:pPr>
      <w:r>
        <w:rPr>
          <w:rFonts w:ascii="微软雅黑" w:hAnsi="微软雅黑" w:eastAsia="微软雅黑"/>
        </w:rPr>
        <w:t>**学术渠道**：清华/北大/上财金融科技研究院</w:t>
      </w:r>
    </w:p>
    <w:p>
      <w:pPr>
        <w:pStyle w:val="ListBullet"/>
      </w:pPr>
      <w:r>
        <w:rPr>
          <w:rFonts w:ascii="微软雅黑" w:hAnsi="微软雅黑" w:eastAsia="微软雅黑"/>
        </w:rPr>
        <w:t>**客户成功**：目标续约率 92%，NRR 120%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4.4 客户拓展计划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客户数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关键事件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种子期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推荐单位导入，MVP 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成长期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30–85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Pre-A 完成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扩张期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85–200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 轮 1 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领先期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2029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200–380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 轮 3 亿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龙头期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380–620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Pre-IPO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5. 团队介绍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5.1 参赛团队（AFAC 平台注册，4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院校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**CEO/主讲**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**冯亦根**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亚洲城市大学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战略、融资、BD、路演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**CTO**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**王宇寒**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杭州电子科技大学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技术架构、AI 模型、系统开发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**产品/数据**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**官馨**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陕西师范大学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数据策略、产品设计、客户研究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**量化/运营**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**梁理智**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河北科技大学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量化策略、工程实施、运营交付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5.2 推荐单位 / 场外顾问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**推荐单位代表 / 行业顾问**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**薛永再**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 法定代表人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合规指导、行业资源、试点背书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薛永再先生为推荐单位法定代表人及场外顾问，**非参赛队员**。路演现场可作为推荐单位嘉宾出席。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5.3 团队优势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复合背景：战略 / 技术 / 产品 / 量化四大领域全覆盖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真实可查：4 位参赛队员均为 AFAC 平台注册团队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行业资源：薛永再 15 年资管客户网络，战略合作已签署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技术交付：Streamlit Demo 已上线生产环境，回测引擎开源 MIT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学术合作：清华/北大/上财金融科技研究院合作意向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5.4 核心团队规划（2026–2030）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部门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2026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研发 (AI+平台)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 (采编+ETL)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销售 + BD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客户成功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管理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**合计**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**22**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**113**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**280**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6. 财务预测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6.1 启动资金（天使轮 500 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 (万元)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研发 (MVP + 5 客户)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数据采购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 (6 月)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营销 + 品牌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其他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6.2 5 年营收预测（基准场景）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2026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2027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2029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客户数 (家)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营收 (万元)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2,000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7,300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20,100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42,960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79,500</w:t>
            </w:r>
          </w:p>
        </w:tc>
      </w:tr>
      <w:tr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净利润 (万元)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-1,840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-800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2,925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9,310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19,800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-92%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-11%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22%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6.3 融资计划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轮次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时点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 (万)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投后估值 (万)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天使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5,000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Pre-A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12 月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3,000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30,000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10,000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80,000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B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36 月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30,000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200,000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Pre-IPO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54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500,000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6.4 投资回报</w:t>
      </w:r>
    </w:p>
    <w:p>
      <w:pPr>
        <w:pStyle w:val="ListBullet"/>
      </w:pPr>
      <w:r>
        <w:rPr>
          <w:rFonts w:ascii="微软雅黑" w:hAnsi="微软雅黑" w:eastAsia="微软雅黑"/>
        </w:rPr>
        <w:t>**回收期 (CAC)**：5 月</w:t>
      </w:r>
    </w:p>
    <w:p>
      <w:pPr>
        <w:pStyle w:val="ListBullet"/>
      </w:pPr>
      <w:r>
        <w:rPr>
          <w:rFonts w:ascii="微软雅黑" w:hAnsi="微软雅黑" w:eastAsia="微软雅黑"/>
        </w:rPr>
        <w:t>**5 年累计净利**：2.94 亿</w:t>
      </w:r>
    </w:p>
    <w:p>
      <w:pPr>
        <w:pStyle w:val="ListBullet"/>
      </w:pPr>
      <w:r>
        <w:rPr>
          <w:rFonts w:ascii="微软雅黑" w:hAnsi="微软雅黑" w:eastAsia="微软雅黑"/>
        </w:rPr>
        <w:t>**IPO 估值**：40–50 亿（2030）</w:t>
      </w:r>
    </w:p>
    <w:p>
      <w:pPr>
        <w:pStyle w:val="ListBullet"/>
      </w:pPr>
      <w:r>
        <w:rPr>
          <w:rFonts w:ascii="微软雅黑" w:hAnsi="微软雅黑" w:eastAsia="微软雅黑"/>
        </w:rPr>
        <w:t>**IRR**：28%（基准），概率加权期望 27%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7. 风险评估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7.1 8 大风险与应对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概率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应对措施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责任人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技术迭代滞后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持续 R&amp;D 15%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大客户流失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-10%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客户成功 2x + 3 年长约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监管收紧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-8%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法务+合规 + 监管沙盒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融资环境恶化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-5pp IRR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18 月现金跑道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核心团队流失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期权池 15%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竞品价格战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-20%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差异化 + SHAP 壁垒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数据源断供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-25%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多源备份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宏观经济衰退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-15%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 类客户分散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7.2 压力测试（2030）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客户数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 (亿)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IRR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保守 (-30%)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434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0.83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**基准**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**620**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**1.98**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**28%**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乐观 (+30%)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806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3.09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7.3 关键缓释策略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技术护城河：SHAP 可解释 + 开源回测 + 持续 R&amp;D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客户分散：9 类机构 + 5 类地域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合规先行：监管沙盒 + 学术背书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人才绑定：期权池 15–20%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8. 落地案例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8.1 已签署战略合作：杭州永字资产管理有限公司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**合作方**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**法定代表人**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薛永再（推荐单位代表 / 场外顾问）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**合作状态**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**战略合作已签署**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**合作范围**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投研问答 + 量化策略回测 + SHAP 可解释选股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**合作价值**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合规指导、试点客户资源、行业背书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8.2 合作背景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永字资管为中基协备案私募基金管理人，法定代表人薛永再拥有 15 年资管行业经验。作为 AFAC2026 推荐单位，永字资管为 QuantInsight Pro 提供：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合规风控指导：私募备案、算法合规、监管沟通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试点场景验证：AI 问答 + 多因子回测在真实投研流程中测试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客户网络导入：200+ 资管行业 BD 资源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路演背书：推荐单位嘉宾出席，增强评委信任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8.3 合作模块与效果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合作内容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验证结果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**AI 投研问答**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自然语言财报/公告解读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中文金融理解准确率 80%+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**量化回测**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多因子 11.4 年回测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年化 8.56%，夏普 0.63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**SHAP 解读**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因子决策归因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满足算法备案可解释性要求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**智能选股**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Top10 推荐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投研效率提升 65%（内部测算）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8.4 客户画像参考（脱敏案例）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基于永字合作访谈 + 行业公开数据，典型目标客户画像：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证券类私募基金管理人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管理规模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10–50 亿元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投研团队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5–10 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核心痛点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数据碎片化、AI 能力缺位、合规成本高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解决方案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QuantInsight Pro 全模块 SaaS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杭州私募证券基金管理人 471 家（2026.01），其中 86% 管理规模 &lt; 10 亿——QuantInsight Pro 精准服务长尾市场。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8.5 下一步合作计划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试点深化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Q3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SHAP 模块投研流程嵌入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客户导入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Q4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推荐 3–5 家同业试点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生态共建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联合白皮书 + 监管沙盒申请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9. 附录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9.1 项目信息</w:t>
      </w:r>
    </w:p>
    <w:p>
      <w:pPr>
        <w:pStyle w:val="ListBullet"/>
      </w:pPr>
      <w:r>
        <w:rPr>
          <w:rFonts w:ascii="微软雅黑" w:hAnsi="微软雅黑" w:eastAsia="微软雅黑"/>
        </w:rPr>
        <w:t>**项目编号**：2026FINTECH-FINT-0093</w:t>
      </w:r>
    </w:p>
    <w:p>
      <w:pPr>
        <w:pStyle w:val="ListBullet"/>
      </w:pPr>
      <w:r>
        <w:rPr>
          <w:rFonts w:ascii="微软雅黑" w:hAnsi="微软雅黑" w:eastAsia="微软雅黑"/>
        </w:rPr>
        <w:t>**参赛组别**：AFAC2026 初创组</w:t>
      </w:r>
    </w:p>
    <w:p>
      <w:pPr>
        <w:pStyle w:val="ListBullet"/>
      </w:pPr>
      <w:r>
        <w:rPr>
          <w:rFonts w:ascii="微软雅黑" w:hAnsi="微软雅黑" w:eastAsia="微软雅黑"/>
        </w:rPr>
        <w:t>**产品 Demo**：https://3blue1brownlab.cn</w:t>
      </w:r>
    </w:p>
    <w:p>
      <w:pPr>
        <w:pStyle w:val="ListBullet"/>
      </w:pPr>
      <w:r>
        <w:rPr>
          <w:rFonts w:ascii="微软雅黑" w:hAnsi="微软雅黑" w:eastAsia="微软雅黑"/>
        </w:rPr>
        <w:t>**回测引擎**：开源 MIT License（`streamlit_app/backtest_engine.py`）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9.2 知识产权规划</w:t>
      </w:r>
    </w:p>
    <w:p>
      <w:pPr>
        <w:pStyle w:val="ListBullet"/>
      </w:pPr>
      <w:r>
        <w:rPr>
          <w:rFonts w:ascii="微软雅黑" w:hAnsi="微软雅黑" w:eastAsia="微软雅黑"/>
        </w:rPr>
        <w:t>发明专利 5–10 项（AI 智能体架构、SHAP 融合算法、多源数据融合）</w:t>
      </w:r>
    </w:p>
    <w:p>
      <w:pPr>
        <w:pStyle w:val="ListBullet"/>
      </w:pPr>
      <w:r>
        <w:rPr>
          <w:rFonts w:ascii="微软雅黑" w:hAnsi="微软雅黑" w:eastAsia="微软雅黑"/>
        </w:rPr>
        <w:t>软件著作权 10–15 项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9.3 监管合规</w:t>
      </w:r>
    </w:p>
    <w:p>
      <w:pPr>
        <w:pStyle w:val="ListBullet"/>
      </w:pPr>
      <w:r>
        <w:rPr>
          <w:rFonts w:ascii="微软雅黑" w:hAnsi="微软雅黑" w:eastAsia="微软雅黑"/>
        </w:rPr>
        <w:t>《数据安全法》《个人信息保护法》</w:t>
      </w:r>
    </w:p>
    <w:p>
      <w:pPr>
        <w:pStyle w:val="ListBullet"/>
      </w:pPr>
      <w:r>
        <w:rPr>
          <w:rFonts w:ascii="微软雅黑" w:hAnsi="微软雅黑" w:eastAsia="微软雅黑"/>
        </w:rPr>
        <w:t>《证券法》《基金法》《资管新规》</w:t>
      </w:r>
    </w:p>
    <w:p>
      <w:pPr>
        <w:pStyle w:val="ListBullet"/>
      </w:pPr>
      <w:r>
        <w:rPr>
          <w:rFonts w:ascii="微软雅黑" w:hAnsi="微软雅黑" w:eastAsia="微软雅黑"/>
        </w:rPr>
        <w:t>《生成式人工智能服务管理暂行办法》</w:t>
      </w:r>
    </w:p>
    <w:p>
      <w:pPr>
        <w:pStyle w:val="ListBullet"/>
      </w:pPr>
      <w:r>
        <w:rPr>
          <w:rFonts w:ascii="微软雅黑" w:hAnsi="微软雅黑" w:eastAsia="微软雅黑"/>
        </w:rPr>
        <w:t>中基协/中证协行业自律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9.4 学术合作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清华五道口金融学院、上财金融科技研究院、北大数字金融研究中心、复旦经济学院、交大/浙大校招基地。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9.5 联系方式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邮箱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CEO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ceo@3blue1brownlab.cn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CTO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cto@3blue1brownlab.cn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product@3blue1brownlab.cn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梁理智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ops@3blue1brownlab.cn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编制人：慧点资本 (InsightQuant) 量化研究部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审核人：薛永再（推荐单位）+ 王宇寒（技术）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版本：AFAC Submission V1.0 · 2026 年 7 月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