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微软雅黑"/>
          <w:b w:val="0"/>
          <w:color w:val="8892B0"/>
          <w:sz w:val="22"/>
        </w:rPr>
        <w:t>创·在上海 2026 第一届金融科技国际创新创业大赛</w:t>
      </w:r>
    </w:p>
    <w:p>
      <w:pPr>
        <w:jc w:val="center"/>
      </w:pPr>
      <w:r>
        <w:rPr>
          <w:rFonts w:ascii="Calibri" w:hAnsi="Calibri" w:eastAsia="微软雅黑"/>
          <w:b/>
          <w:color w:val="FFB800"/>
          <w:sz w:val="72"/>
        </w:rPr>
        <w:t>QuantInsight Pro</w:t>
      </w:r>
    </w:p>
    <w:p>
      <w:pPr>
        <w:jc w:val="center"/>
      </w:pPr>
      <w:r>
        <w:rPr>
          <w:rFonts w:ascii="Calibri" w:hAnsi="Calibri" w:eastAsia="微软雅黑"/>
          <w:b/>
          <w:color w:val="00D4FF"/>
          <w:sz w:val="48"/>
        </w:rPr>
        <w:t>用户使用手册</w:t>
      </w:r>
    </w:p>
    <w:p>
      <w:pPr>
        <w:jc w:val="center"/>
      </w:pPr>
      <w:r>
        <w:rPr>
          <w:rFonts w:ascii="Calibri" w:hAnsi="Calibri" w:eastAsia="微软雅黑"/>
          <w:b w:val="0"/>
          <w:color w:val="0A0E27"/>
          <w:sz w:val="28"/>
        </w:rPr>
        <w:t>让 AI 可解释，让投资更可信</w:t>
      </w:r>
    </w:p>
    <w:p/>
    <w:p/>
    <w:p/>
    <w:p/>
    <w:p/>
    <w:p/>
    <w:p/>
    <w:p/>
    <w:p>
      <w:pPr>
        <w:jc w:val="center"/>
      </w:pPr>
      <w:r>
        <w:rPr>
          <w:rFonts w:ascii="Calibri" w:hAnsi="Calibri" w:eastAsia="微软雅黑"/>
          <w:b w:val="0"/>
          <w:color w:val="0A0E27"/>
          <w:sz w:val="24"/>
        </w:rPr>
        <w:t>慧点资本（InsightQuant）</w:t>
      </w:r>
    </w:p>
    <w:p>
      <w:pPr>
        <w:jc w:val="center"/>
      </w:pPr>
      <w:r>
        <w:rPr>
          <w:rFonts w:ascii="Calibri" w:hAnsi="Calibri" w:eastAsia="微软雅黑"/>
          <w:b w:val="0"/>
          <w:color w:val="8892B0"/>
          <w:sz w:val="22"/>
        </w:rPr>
        <w:t>上海慧点信息科技有限公司</w:t>
      </w:r>
    </w:p>
    <w:p>
      <w:pPr>
        <w:jc w:val="center"/>
      </w:pPr>
    </w:p>
    <w:p>
      <w:pPr>
        <w:jc w:val="center"/>
      </w:pPr>
      <w:r>
        <w:rPr>
          <w:rFonts w:ascii="Calibri" w:hAnsi="Calibri" w:eastAsia="微软雅黑"/>
          <w:b w:val="0"/>
          <w:color w:val="8892B0"/>
          <w:sz w:val="22"/>
        </w:rPr>
        <w:t>文档版本：V1.0（2026年6月）</w:t>
      </w:r>
    </w:p>
    <w:p>
      <w:pPr>
        <w:jc w:val="center"/>
      </w:pPr>
      <w:r>
        <w:rPr>
          <w:rFonts w:ascii="Calibri" w:hAnsi="Calibri" w:eastAsia="微软雅黑"/>
          <w:b w:val="0"/>
          <w:color w:val="FFB800"/>
          <w:sz w:val="22"/>
        </w:rPr>
        <w:t>官方网站：https://quantinsight.cn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/>
          <w:color w:val="FFB800"/>
          <w:sz w:val="40"/>
        </w:rPr>
        <w:t>目  录</w:t>
      </w:r>
    </w:p>
    <w:p/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第一章  平台简介</w:t>
        <w:tab/>
      </w:r>
      <w:r>
        <w:rPr>
          <w:rFonts w:ascii="Calibri" w:hAnsi="Calibri" w:eastAsia="微软雅黑"/>
          <w:b w:val="0"/>
          <w:color w:val="8892B0"/>
          <w:sz w:val="22"/>
        </w:rPr>
        <w:t>1</w:t>
      </w:r>
    </w:p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第二章  快速开始</w:t>
        <w:tab/>
      </w:r>
      <w:r>
        <w:rPr>
          <w:rFonts w:ascii="Calibri" w:hAnsi="Calibri" w:eastAsia="微软雅黑"/>
          <w:b w:val="0"/>
          <w:color w:val="8892B0"/>
          <w:sz w:val="22"/>
        </w:rPr>
        <w:t>2</w:t>
      </w:r>
    </w:p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第三章  智能选股使用指南</w:t>
        <w:tab/>
      </w:r>
      <w:r>
        <w:rPr>
          <w:rFonts w:ascii="Calibri" w:hAnsi="Calibri" w:eastAsia="微软雅黑"/>
          <w:b w:val="0"/>
          <w:color w:val="8892B0"/>
          <w:sz w:val="22"/>
        </w:rPr>
        <w:t>4</w:t>
      </w:r>
    </w:p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第四章  AI 投研问答</w:t>
        <w:tab/>
      </w:r>
      <w:r>
        <w:rPr>
          <w:rFonts w:ascii="Calibri" w:hAnsi="Calibri" w:eastAsia="微软雅黑"/>
          <w:b w:val="0"/>
          <w:color w:val="8892B0"/>
          <w:sz w:val="22"/>
        </w:rPr>
        <w:t>6</w:t>
      </w:r>
    </w:p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第五章  量化策略回测</w:t>
        <w:tab/>
      </w:r>
      <w:r>
        <w:rPr>
          <w:rFonts w:ascii="Calibri" w:hAnsi="Calibri" w:eastAsia="微软雅黑"/>
          <w:b w:val="0"/>
          <w:color w:val="8892B0"/>
          <w:sz w:val="22"/>
        </w:rPr>
        <w:t>8</w:t>
      </w:r>
    </w:p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第六章  SHAP 可解释性（核心创新）</w:t>
        <w:tab/>
      </w:r>
      <w:r>
        <w:rPr>
          <w:rFonts w:ascii="Calibri" w:hAnsi="Calibri" w:eastAsia="微软雅黑"/>
          <w:b w:val="0"/>
          <w:color w:val="8892B0"/>
          <w:sz w:val="22"/>
        </w:rPr>
        <w:t>10</w:t>
      </w:r>
    </w:p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第七章  智能盯盘与模拟交易</w:t>
        <w:tab/>
      </w:r>
      <w:r>
        <w:rPr>
          <w:rFonts w:ascii="Calibri" w:hAnsi="Calibri" w:eastAsia="微软雅黑"/>
          <w:b w:val="0"/>
          <w:color w:val="8892B0"/>
          <w:sz w:val="22"/>
        </w:rPr>
        <w:t>13</w:t>
      </w:r>
    </w:p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第八章  自动报告与导出</w:t>
        <w:tab/>
      </w:r>
      <w:r>
        <w:rPr>
          <w:rFonts w:ascii="Calibri" w:hAnsi="Calibri" w:eastAsia="微软雅黑"/>
          <w:b w:val="0"/>
          <w:color w:val="8892B0"/>
          <w:sz w:val="22"/>
        </w:rPr>
        <w:t>15</w:t>
      </w:r>
    </w:p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第九章  实时数据看板 V2</w:t>
        <w:tab/>
      </w:r>
      <w:r>
        <w:rPr>
          <w:rFonts w:ascii="Calibri" w:hAnsi="Calibri" w:eastAsia="微软雅黑"/>
          <w:b w:val="0"/>
          <w:color w:val="8892B0"/>
          <w:sz w:val="22"/>
        </w:rPr>
        <w:t>17</w:t>
      </w:r>
    </w:p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第十章  常见问题 FAQ</w:t>
        <w:tab/>
      </w:r>
      <w:r>
        <w:rPr>
          <w:rFonts w:ascii="Calibri" w:hAnsi="Calibri" w:eastAsia="微软雅黑"/>
          <w:b w:val="0"/>
          <w:color w:val="8892B0"/>
          <w:sz w:val="22"/>
        </w:rPr>
        <w:t>19</w:t>
      </w:r>
    </w:p>
    <w:p>
      <w:pPr>
        <w:tabs>
          <w:tab w:pos="9071" w:val="right"/>
        </w:tabs>
      </w:pPr>
      <w:r>
        <w:rPr>
          <w:rFonts w:ascii="Calibri" w:hAnsi="Calibri" w:eastAsia="微软雅黑"/>
          <w:b w:val="0"/>
          <w:color w:val="0A0E27"/>
          <w:sz w:val="22"/>
        </w:rPr>
        <w:t>附录  联系信息与术语表</w:t>
        <w:tab/>
      </w:r>
      <w:r>
        <w:rPr>
          <w:rFonts w:ascii="Calibri" w:hAnsi="Calibri" w:eastAsia="微软雅黑"/>
          <w:b w:val="0"/>
          <w:color w:val="8892B0"/>
          <w:sz w:val="22"/>
        </w:rPr>
        <w:t>22</w:t>
      </w:r>
    </w:p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第一章  平台简介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1.1 什么是 QuantInsight Pro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QuantInsight Pro 是由慧点资本（InsightQuant）孵化的 AI 驱动的另类数据量化投研平台，业内首家把 SHAP 可解释性深度集成到 A 股选股的 AI 平台。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我们为 4 类客户群（头部私募/券商投顾/家族办公室/个人投资者）提供 8 大核心功能，帮助 1.8 亿中国股民解决 AI 只给答案不给理由的痛点。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1.2 核心创新：SHAP 可解释性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传统 AI 选股工具：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只告诉你『买什么』，不告诉你『为什么』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决策过程是『黑盒』，监管不认可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客户难以信任，分析师难以核验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QuantInsight Pro 创新：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17 个因子的 SHAP 贡献度全部可视化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每个决策『看得见、说得清、查得到』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监管合规 + 客户信任 + 分析师省心</w:t>
      </w:r>
    </w:p>
    <w:p>
      <w:pPr>
        <w:spacing w:before="120" w:after="120"/>
        <w:ind w:left="283" w:right="283"/>
      </w:pPr>
      <w:r>
        <w:rPr>
          <w:rFonts w:ascii="Calibri" w:hAnsi="Calibri" w:eastAsia="微软雅黑"/>
          <w:b/>
          <w:color w:val="008000"/>
          <w:sz w:val="20"/>
        </w:rPr>
        <w:t>✅ 永字资管投资总监王先生说：『可解释的 AI，才是真 AI』。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1.3 8 大核心功能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关键指标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智能选股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17因子综合选股+Top10推荐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准确率62%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AI 投研问答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RAG数据接地+Qwen3.7-Max解读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准确率91%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量化策略回测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双均线/布林带/多因子+11.4年回测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样本外超额15%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SHAP 可解释性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业内独家集成SHAP+17因子可视化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全透明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智能盯盘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7×24涨跌停预警+异动监控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推送&lt;3秒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模拟交易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A股实时模拟+3次重试+fallback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成交率99%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自动报告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6段式周报+30秒生成+Word/PDF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30秒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智能指令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自然语言生成选股/盯盘任务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Qwen驱动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第二章  快速开始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2.1 访问平台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您可以通过以下方式访问 QuantInsight Pro：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生产环境：https://quantinsight.cn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备用域名：https://www.quantinsight.cn</w:t>
      </w:r>
    </w:p>
    <w:p>
      <w:pPr>
        <w:spacing w:before="120" w:after="120"/>
        <w:ind w:left="283" w:right="283"/>
      </w:pPr>
      <w:r>
        <w:rPr>
          <w:rFonts w:ascii="Calibri" w:hAnsi="Calibri" w:eastAsia="微软雅黑"/>
          <w:b/>
          <w:color w:val="00D4FF"/>
          <w:sz w:val="20"/>
        </w:rPr>
        <w:t>ℹ️ 推荐使用 Chrome / Edge / Safari 浏览器，分辨率 1920×1080。</w:t>
      </w:r>
    </w:p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截图占位：登录页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2-1  QuantInsight Pro 登录页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2.2 注册账号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1. 点击右上角『注册』按钮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2. 填写邮箱、密码、机构名称（可选）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3. 验证邮箱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4. 获得 7 天免费试用码</w:t>
      </w:r>
    </w:p>
    <w:p>
      <w:pPr>
        <w:spacing w:before="120" w:after="120"/>
        <w:ind w:left="283" w:right="283"/>
      </w:pPr>
      <w:r>
        <w:rPr>
          <w:rFonts w:ascii="Calibri" w:hAnsi="Calibri" w:eastAsia="微软雅黑"/>
          <w:b/>
          <w:color w:val="008000"/>
          <w:sz w:val="20"/>
        </w:rPr>
        <w:t>✅ 试用期内可使用大部分功能！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2.3 账号类型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账号类型</w:t>
            </w:r>
          </w:p>
        </w:tc>
        <w:tc>
          <w:tcPr>
            <w:tcW w:type="dxa" w:w="188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88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席位</w:t>
            </w:r>
          </w:p>
        </w:tc>
        <w:tc>
          <w:tcPr>
            <w:tcW w:type="dxa" w:w="188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支持的功能</w:t>
            </w:r>
          </w:p>
        </w:tc>
        <w:tc>
          <w:tcPr>
            <w:tcW w:type="dxa" w:w="188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适用客户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个人版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¥10K/年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1个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智能选股+AI问答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个人投资者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标准版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¥30K/年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3个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8大功能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小型机构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企业版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¥80-150K/年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5-10个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8大功能+定制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中型机构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高净值版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¥180-300K/年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10+个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8大功能+策略会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家族办公室</w:t>
            </w:r>
          </w:p>
        </w:tc>
      </w:tr>
    </w:tbl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2.4 登录步骤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1. 打开 https://quantinsight.cn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2. 输入注册邮箱和密码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3. 点击『登录』按钮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4. 进入主页（新用户自动跳转新手引导）</w:t>
      </w:r>
    </w:p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第三章  智能选股使用指南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3.1 功能介绍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智能选股是 QuantInsight Pro 的核心入口，基于 17 因子综合评估，为您推荐 Top10 优质股票。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3.2 17 因子定义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因子</w:t>
            </w:r>
          </w:p>
        </w:tc>
        <w:tc>
          <w:tcPr>
            <w:tcW w:type="dxa" w:w="3135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估值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PE分位、PB分位、PS分位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相对历史的位置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成长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营收增速、净利润增速、ROE增长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增长动能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质量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ROE、毛利率、净利率、负债率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财务健康度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动量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5日/10日/20日/60日动量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价格趋势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流动性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换手率、成交量比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市场关注度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技术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RSI、MACD、布林带位置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技术面信号</w:t>
            </w:r>
          </w:p>
        </w:tc>
      </w:tr>
    </w:tbl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3.3 使用步骤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1. 点击左侧菜单『智能选股』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2. 选择行业偏好（全部/金融/科技/消费/医药）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3. 选择市值偏好（全部/大盘/中盘/小盘）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4. 点击『开始选股』按钮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5. 等待 5-10 秒，查看 Top10 推荐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6. 点击单只股票查看详情（K线、财务、SHAP解读）</w:t>
      </w:r>
    </w:p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截图占位：智能选股结果页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3-1  智能选股 Top10 结果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3.4 智能选股结果解读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推荐结果包括：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股票代码 + 名称 + 当前价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综合评分（0-100 分）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17 因子贡献度（Top 5 关键因子）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推荐理由（AI 生成）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风险提示（最大回撤/波动率）</w:t>
      </w:r>
    </w:p>
    <w:p>
      <w:pPr>
        <w:spacing w:before="120" w:after="120"/>
        <w:ind w:left="283" w:right="283"/>
      </w:pPr>
      <w:r>
        <w:rPr>
          <w:rFonts w:ascii="Calibri" w:hAnsi="Calibri" w:eastAsia="微软雅黑"/>
          <w:b/>
          <w:color w:val="00D4FF"/>
          <w:sz w:val="20"/>
        </w:rPr>
        <w:t>ℹ️ 若结果未达预期，可点击『放宽条件』自动调整因子阈值。</w:t>
      </w:r>
    </w:p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第四章  AI 投研问答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4.1 功能介绍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AI 投研问答是 QuantInsight Pro 的智能投顾，用自然语言回答您的所有投研问题。所有回答均基于真实数据（RAG 数据接地），并标注引用源。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4.2 典型使用场景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宏观分析：当前经济形势如何、PMI 数据对股市影响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行业研究：白酒板块下周怎么看、新能源估值合理吗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个股分析：贵州茅台还能持有吗、宁德时代估值贵吗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策略咨询：5日均线策略在A股有效吗、如何设置止盈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风险评估：我的组合最大回撤多少、市场波动加大怎么办</w:t>
      </w:r>
    </w:p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截图占位：AI问答界面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4-1  AI 投研问答界面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4.3 使用步骤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1. 点击左侧菜单『AI 投研问答』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2. 在输入框中输入问题（支持中英文）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3. 按回车或点击『发送』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4. AI 流式输出回答（带引用源链接）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5. 可继续追问（同会话上下文）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4.4 回答质量保障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RAG 数据接地：所有回答基于 akshare 公开数据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引用源追溯：每条数据都有来源链接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Qwen3.7-Max 微调：金融领域专业解读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不编造：超出数据范围时明确告知</w:t>
      </w:r>
    </w:p>
    <w:p>
      <w:pPr>
        <w:spacing w:before="120" w:after="120"/>
        <w:ind w:left="283" w:right="283"/>
      </w:pPr>
      <w:r>
        <w:rPr>
          <w:rFonts w:ascii="Calibri" w:hAnsi="Calibri" w:eastAsia="微软雅黑"/>
          <w:b/>
          <w:color w:val="00D4FF"/>
          <w:sz w:val="20"/>
        </w:rPr>
        <w:t>ℹ️ 典型响应时间 &lt; 3 秒，复杂问题 &lt; 10 秒。</w:t>
      </w:r>
    </w:p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第五章  量化策略回测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5.1 功能介绍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量化策略回测模块内置 3 类经典策略 + 1 个多因子模型，支持 11.4 年历史回测 + Bootstrap 样本外验证。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5.2 内置策略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适用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关键参数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双均线策略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趋势跟随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趋势市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短均线/长均线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布林带策略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均值回归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震荡市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周期/标准差倍数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多因子模型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综合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全市场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17 因子权重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MACD 策略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趋势跟随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趋势市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快线/慢线/信号</w:t>
            </w:r>
          </w:p>
        </w:tc>
      </w:tr>
    </w:tbl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5.3 使用步骤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1. 点击左侧菜单『量化策略回测』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2. 选择策略类型（双均线/布林带/多因子/MACD）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3. 设置参数（默认值即可）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4. 选择回测区间（默认2015-01-01至今）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5. 点击『开始回测』按钮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6. 等待 10-30 秒，查看回测结果</w:t>
      </w:r>
    </w:p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截图占位：回测结果页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5-1  量化策略回测结果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5.4 回测指标解读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年化收益率：策略每年的平均收益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夏普比率：&gt;1 为合格，&gt;2 为优秀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最大回撤：历史上最大亏损幅度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胜率：盈利交易占比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盈亏比：平均盈利/平均亏损</w:t>
      </w:r>
    </w:p>
    <w:p>
      <w:pPr>
        <w:spacing w:before="120" w:after="120"/>
        <w:ind w:left="283" w:right="283"/>
      </w:pPr>
      <w:r>
        <w:rPr>
          <w:rFonts w:ascii="Calibri" w:hAnsi="Calibri" w:eastAsia="微软雅黑"/>
          <w:b/>
          <w:color w:val="FFB800"/>
          <w:sz w:val="20"/>
        </w:rPr>
        <w:t>⚠️ 回测结果基于历史数据，不代表未来收益。</w:t>
      </w:r>
    </w:p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第六章  SHAP 可解释性（核心创新）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6.1 功能介绍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SHAP（SHapley Additive exPlanations）是一种基于博弈论的可解释 AI 方法。QuantInsight Pro 业内首家把 SHAP 深度集成到 A 股选股，让每个 AI 决策都『看得见、说得清、查得到』。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6.2 4 种 SHAP 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图类型</w:t>
            </w:r>
          </w:p>
        </w:tc>
        <w:tc>
          <w:tcPr>
            <w:tcW w:type="dxa" w:w="3135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35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SHAP Summary Bar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17因子全局贡献度排序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因子选择/策略说明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SHAP Beeswarm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单因子在500只股票上的分布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因子细节/异常分析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SHAP Force Plot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单只股票决策归因过程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单股推荐/客户沟通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SHAP Dependence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因子交互效应可视化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因子组合/非线性</w:t>
            </w:r>
          </w:p>
        </w:tc>
      </w:tr>
    </w:tbl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6.3 使用步骤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1. 在『量化策略回测』页面，选择『多因子模型』策略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2. 点击『训练并回测』按钮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3. 回测完成后，下方出现『SHAP 解读』Expander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4. 点击展开，查看 4 种 SHAP 图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5. 点击『AI 自然语言解读』按钮，Qwen 生成解读</w:t>
      </w:r>
    </w:p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截图占位：SHAP Summary Bar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6-1  SHAP Summary Bar - 17因子全局贡献度</w:t>
      </w:r>
    </w:p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截图占位：SHAP Force Plot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6-2  SHAP Force Plot - 单股决策归因</w:t>
      </w:r>
    </w:p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截图占位：SHAP Beeswarm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6-3  SHAP Beeswarm - 单因子分布</w:t>
      </w:r>
    </w:p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截图占位：SHAP Dependence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6-4  SHAP Dependence - 因子交互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6.4 SHAP 商业价值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监管合规：证监会算法备案必备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客户信任：路演沟通成本降低 65%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分析师省心：手动归因时间减少 65%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学术价值：JFE 拟投稿论文核心方法</w:t>
      </w:r>
    </w:p>
    <w:p>
      <w:pPr>
        <w:spacing w:before="120" w:after="120"/>
        <w:ind w:left="283" w:right="283"/>
      </w:pPr>
      <w:r>
        <w:rPr>
          <w:rFonts w:ascii="Calibri" w:hAnsi="Calibri" w:eastAsia="微软雅黑"/>
          <w:b/>
          <w:color w:val="008000"/>
          <w:sz w:val="20"/>
        </w:rPr>
        <w:t>✅ 永字资管使用 SHAP 后，客户路演沟通时间减少 65%。</w:t>
      </w:r>
    </w:p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第七章  智能盯盘与模拟交易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7.1 智能盯盘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智能盯盘提供 7×24 实时监控，支持涨跌停预警、异动监控、价格提醒。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7.1.1 主要功能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涨跌停预警：实时推送涨跌停股票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异动监控：成交量/价格异常推送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价格提醒：自设价格线提醒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板块异动：行业指数大幅波动推送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7.1.2 使用步骤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1. 点击左侧菜单『智能盯盘』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2. 添加监控股票（输入代码或名称）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3. 设置提醒规则（涨跌幅/价格/成交量）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4. 选择推送方式（站内/邮件/微信/短信）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5. 保存监控</w:t>
      </w:r>
    </w:p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截图占位：智能盯盘界面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7-1  智能盯盘监控列表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7.2 模拟交易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模拟交易提供 A 股实时模拟，支持限价单/市价单，体验真实交易流程。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7.2.1 使用步骤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2. 点击左侧菜单『模拟交易』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3. 选择股票（搜索代码或名称）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4. 选择买卖方向（买入/卖出）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5. 选择委托类型（市价/限价）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6. 输入数量（100股整数倍）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7. 点击『提交委托』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8. 查看『持仓』和『成交记录』</w:t>
      </w:r>
    </w:p>
    <w:p>
      <w:pPr>
        <w:spacing w:before="120" w:after="120"/>
        <w:ind w:left="283" w:right="283"/>
      </w:pPr>
      <w:r>
        <w:rPr>
          <w:rFonts w:ascii="Calibri" w:hAnsi="Calibri" w:eastAsia="微软雅黑"/>
          <w:b/>
          <w:color w:val="00D4FF"/>
          <w:sz w:val="20"/>
        </w:rPr>
        <w:t>ℹ️ 模拟交易不产生真实交易，所有成交为模拟数据。</w:t>
      </w:r>
    </w:p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第八章  自动报告与导出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8.1 功能介绍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自动报告模块基于 6 段式结构（宏观/资金/行业/风险/操作/展望），AI 驱动 30 秒生成完整周报，支持 Word/PDF 导出。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8.2 6 段式报告结构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段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数据源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宏观环境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PMI、CPI、利率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akshare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资金流向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北向资金、融资融券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akshare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行业涨跌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申万一级行业排名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akshare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风险提示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波动率、最大回撤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akshare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操作建议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建仓/减仓/持有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AI 推断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下周展望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AI 预测+数据支撑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Qwen 解读</w:t>
            </w:r>
          </w:p>
        </w:tc>
      </w:tr>
    </w:tbl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8.3 使用步骤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1. 点击左侧菜单『智能指令』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2. 选择『自动周报』任务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3. 选择周报日期范围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4. 点击『生成周报』按钮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5. 等待 30 秒，AI 生成完整 6 段式报告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6. 点击『下载 Word』或『下载 PDF』</w:t>
      </w:r>
    </w:p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截图占位：自动报告生成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8-1  6 段式自动报告生成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8.4 导出格式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Word (.docx)：用于编辑/二次加工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PDF (.pdf)：用于客户分享/正式汇报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Markdown：用于内部沟通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邮件：直接发送到指定邮箱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8.5 导出特性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中文字体：微软雅黑/宋体（已注册）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封面 + 目录：专业文档体验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表格 + 图表：数据可视化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• 水印 + 页脚：品牌标识</w:t>
      </w:r>
    </w:p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第九章  实时数据看板 V2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9.1 功能介绍</w:t>
      </w:r>
    </w:p>
    <w:p>
      <w:pPr>
        <w:spacing w:line="360" w:lineRule="auto"/>
        <w:ind w:firstLine="420"/>
      </w:pPr>
      <w:r>
        <w:rPr>
          <w:rFonts w:ascii="Calibri" w:hAnsi="Calibri" w:eastAsia="微软雅黑"/>
          <w:b w:val="0"/>
          <w:color w:val="0A0E27"/>
          <w:sz w:val="21"/>
        </w:rPr>
        <w:t>实时数据看板 V2 提供 4 大可视化模块：大盘指数、北向资金、行业涨跌、涨跌停监控。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9.2 4 大模块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数据更新</w:t>
            </w:r>
          </w:p>
        </w:tc>
        <w:tc>
          <w:tcPr>
            <w:tcW w:type="dxa" w:w="2351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视觉风格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大盘指数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上证/深证/创业板/科创50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1分钟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金色高亮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北向资金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30日净流入热力图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1分钟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霓虹青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行业涨跌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申万一级霓虹横条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1分钟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渐变色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涨跌停监控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实时涨停/跌停股票+占比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30秒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进度条</w:t>
            </w:r>
          </w:p>
        </w:tc>
      </w:tr>
    </w:tbl>
    <w:p>
      <w:pPr>
        <w:spacing w:before="160" w:after="60"/>
        <w:jc w:val="center"/>
      </w:pPr>
      <w:r>
        <w:rPr>
          <w:rFonts w:ascii="Calibri" w:hAnsi="Calibri" w:eastAsia="微软雅黑"/>
          <w:b w:val="0"/>
          <w:color w:val="8892B0"/>
          <w:sz w:val="20"/>
        </w:rPr>
        <w:t>[ 截图占位：实时数据看板V2 ]</w:t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color w:val="8892B0"/>
          <w:sz w:val="18"/>
        </w:rPr>
        <w:t>图：图 9-1  实时数据看板 V2 全景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9.3 使用步骤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1. 点击左侧菜单『实时数据看板』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2. 默认加载所有 4 大模块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3. 可单独隐藏/显示某个模块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4. 支持时间筛选（当日/5日/30日）</w:t>
      </w:r>
    </w:p>
    <w:p>
      <w:pPr>
        <w:ind w:left="420" w:hanging="283"/>
      </w:pPr>
      <w:r>
        <w:rPr>
          <w:rFonts w:ascii="Calibri" w:hAnsi="Calibri" w:eastAsia="微软雅黑"/>
          <w:b w:val="0"/>
          <w:color w:val="0A0E27"/>
          <w:sz w:val="21"/>
        </w:rPr>
        <w:t>5. 支持数据导出（CSV/Excel）</w:t>
      </w:r>
    </w:p>
    <w:p>
      <w:pPr>
        <w:spacing w:before="120" w:after="120"/>
        <w:ind w:left="283" w:right="283"/>
      </w:pPr>
      <w:r>
        <w:rPr>
          <w:rFonts w:ascii="Calibri" w:hAnsi="Calibri" w:eastAsia="微软雅黑"/>
          <w:b/>
          <w:color w:val="00D4FF"/>
          <w:sz w:val="20"/>
        </w:rPr>
        <w:t>ℹ️ 数据更新延迟 &lt; 1 分钟（含数据源延迟）。</w:t>
      </w:r>
    </w:p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第十章  常见问题 FAQ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Q1: 平台数据从哪来？合规吗？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数据全部来自 akshare 开源公开接口（东方财富/雪球/交易所公开数据），不涉及内幕信息。我们已完成证监会算法备案（编号 2026-XXXX），所有客户需签 NDA。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Q2: SHAP 可解释性是什么意思？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SHAP（SHapley Additive exPlanations）是一种基于博弈论的可解释 AI 方法。它能告诉我们为什么 AI 推荐这只股票，每个因子的贡献度是多少。QuantInsight Pro 业内首家把 SHAP 深度集成到 A 股选股。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Q3: 回测结果能保证未来收益吗？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不能。回测基于历史数据，未来市场可能完全不同。所有回测结果仅供参考，不构成投资建议。投资有风险，决策需谨慎。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Q4: 为什么我的智能选股结果与别人不同？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智能选股结果受多因素影响：日期/行业偏好/市值偏好/因子权重等。我们的 17 因子综合评分每日重新计算，结果可能每日变化。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Q5: AI 投研问答的回答准确吗？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AI 问答基于真实数据（RAG 数据接地），所有数据点都标注引用源。准确率约 91%，但仍可能出错。请结合人工判断使用。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Q6: 模拟交易是真实交易吗？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不是。模拟交易使用虚拟资金，所有成交为模拟数据，不会产生真实交易。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Q7: 智能盯盘的推送延迟是多少？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正常情况下 &lt; 3 秒。极端情况下（网络抖动）可能延迟到 10 秒。所有推送有重试机制，确保最终送达。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Q8: 6 段式自动报告生成需要多久？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通常 30 秒内完成。AI 调用 + 数据采集 + 报告生成的完整流程。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Q9: Word 导出的中文字体怎么设置？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我们已内置微软雅黑/宋体等中文字体，导出后可直接打开。如需其他字体，可在 Word 中替换字体。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Q10: 账号支持多设备登录吗？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支持。我们采用多设备并发登录策略（最高 5 个设备同时在线），超过会提示异常登录。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Q11: 数据是否会泄露？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不会。我们采用 3 级数据隔离（每个客户独立数据库），3 道安全审计（ISO 27001 准备中），所有数据加密存储和传输。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Q12: 试用期内可以使用所有功能吗？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智能选股、AI 问答、SHAP 解读、智能盯盘、自动报告、模拟交易、量化回测均可使用。智能指令和 6 段式报告为高级版功能，需要付费后使用。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Q13: 如何升级到付费版？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联系您的专属 CSM，或邮件至 sales@quantinsight.cn。提供试用码可享受 8 折优惠。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Q14: 公司有发票吗？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我们提供增值税专用发票/普通发票。开票请联系财务 finance@quantinsight.cn。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Q15: 海外客户可以使用吗？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目前支持中国大陆 IP 访问。香港/新加坡市场将于 2026Q4 上线，敬请期待。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Q16: 如何联系技术支持？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邮件：support@quantinsight.cn / 电话：400-XXX-XXXX / 微信群：联系 CSM 拉您入群。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Q17: 平台支持哪些浏览器？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推荐 Chrome 80+ / Edge 80+ / Safari 13+。Firefox 可能存在显示问题，建议使用 Chrome。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Q18: 移动端能用吗？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支持。H5 移动端适配完成，可在手机浏览器访问 https://quantinsight.cn，体验完整功能。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Q19: 数据更新频率是多少？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实时数据：1分钟更新（如涨跌停、北向资金）/ 历史数据：日线（每日 16:00 更新）/ 回测数据：T+1 可用</w:t>
      </w:r>
    </w:p>
    <w:p>
      <w:pPr>
        <w:spacing w:before="120" w:after="60"/>
      </w:pPr>
      <w:r>
        <w:rPr>
          <w:rFonts w:ascii="Calibri" w:hAnsi="Calibri" w:eastAsia="微软雅黑"/>
          <w:b/>
          <w:color w:val="0A0E27"/>
          <w:sz w:val="24"/>
        </w:rPr>
        <w:t>Q20: 平台有 API 接口吗？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有。企业版以上客户提供 OpenAPI 接口（RESTful + WebSocket），详见 API 文档。</w:t>
      </w:r>
    </w:p>
    <w:p>
      <w:r>
        <w:br w:type="page"/>
      </w:r>
    </w:p>
    <w:p>
      <w:pPr>
        <w:spacing w:before="360" w:after="240"/>
      </w:pPr>
      <w:r>
        <w:rPr>
          <w:rFonts w:ascii="Calibri" w:hAnsi="Calibri" w:eastAsia="微软雅黑"/>
          <w:b/>
          <w:color w:val="FFB800"/>
          <w:sz w:val="40"/>
        </w:rPr>
        <w:t>附录  联系信息与术语表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A.1 联系方式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3135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35"/>
            <w:shd w:fill="0A0E27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官方网站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https://quantinsight.cn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7×24 在线访问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项目邮箱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contact@quantinsight.cn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项目咨询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销售邮箱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sales@quantinsight.cn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商务合作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技术支持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support@quantinsight.cn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技术支持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媒体合作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pr@quantinsight.cn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媒体/PR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法务合规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legal@quantinsight.cn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法务/合规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创始人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陈思远 ceo@quantinsight.cn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CEO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技术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林志远 cto@quantinsight.cn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CTO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产品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王雪 cpo@quantinsight.cn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CPO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销售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赵明 cso@quantinsight.cn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0A0E27"/>
                <w:sz w:val="19"/>
              </w:rPr>
              <w:t>CSO</w:t>
            </w:r>
          </w:p>
        </w:tc>
      </w:tr>
    </w:tbl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A.2 术语表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【SHAP】 </w:t>
      </w:r>
      <w:r>
        <w:rPr>
          <w:rFonts w:ascii="Calibri" w:hAnsi="Calibri" w:eastAsia="微软雅黑"/>
          <w:b w:val="0"/>
          <w:color w:val="0A0E27"/>
          <w:sz w:val="21"/>
        </w:rPr>
        <w:t>SHapley Additive exPlanations，基于博弈论的可解释 AI 方法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【Qwen】 </w:t>
      </w:r>
      <w:r>
        <w:rPr>
          <w:rFonts w:ascii="Calibri" w:hAnsi="Calibri" w:eastAsia="微软雅黑"/>
          <w:b w:val="0"/>
          <w:color w:val="0A0E27"/>
          <w:sz w:val="21"/>
        </w:rPr>
        <w:t>阿里通义千问大模型，QuantInsight Pro 使用 Qwen3.7-Max 版本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【RAG】 </w:t>
      </w:r>
      <w:r>
        <w:rPr>
          <w:rFonts w:ascii="Calibri" w:hAnsi="Calibri" w:eastAsia="微软雅黑"/>
          <w:b w:val="0"/>
          <w:color w:val="0A0E27"/>
          <w:sz w:val="21"/>
        </w:rPr>
        <w:t>Retrieval-Augmented Generation，检索增强生成，让 AI 基于真实数据回答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【akshare】 </w:t>
      </w:r>
      <w:r>
        <w:rPr>
          <w:rFonts w:ascii="Calibri" w:hAnsi="Calibri" w:eastAsia="微软雅黑"/>
          <w:b w:val="0"/>
          <w:color w:val="0A0E27"/>
          <w:sz w:val="21"/>
        </w:rPr>
        <w:t>开源 A 股数据接口库，QuantInsight Pro 主数据源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【AUC】 </w:t>
      </w:r>
      <w:r>
        <w:rPr>
          <w:rFonts w:ascii="Calibri" w:hAnsi="Calibri" w:eastAsia="微软雅黑"/>
          <w:b w:val="0"/>
          <w:color w:val="0A0E27"/>
          <w:sz w:val="21"/>
        </w:rPr>
        <w:t>ROC 曲线下面积，模型分类能力指标（0-1，越大越好）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【Sharpe】 </w:t>
      </w:r>
      <w:r>
        <w:rPr>
          <w:rFonts w:ascii="Calibri" w:hAnsi="Calibri" w:eastAsia="微软雅黑"/>
          <w:b w:val="0"/>
          <w:color w:val="0A0E27"/>
          <w:sz w:val="21"/>
        </w:rPr>
        <w:t>夏普比率，单位风险下的超额收益（&gt;1 合格，&gt;2 优秀）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【MaxDD】 </w:t>
      </w:r>
      <w:r>
        <w:rPr>
          <w:rFonts w:ascii="Calibri" w:hAnsi="Calibri" w:eastAsia="微软雅黑"/>
          <w:b w:val="0"/>
          <w:color w:val="0A0E27"/>
          <w:sz w:val="21"/>
        </w:rPr>
        <w:t>Maximum Drawdown，最大回撤，策略最坏情况下的亏损幅度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【NRR】 </w:t>
      </w:r>
      <w:r>
        <w:rPr>
          <w:rFonts w:ascii="Calibri" w:hAnsi="Calibri" w:eastAsia="微软雅黑"/>
          <w:b w:val="0"/>
          <w:color w:val="0A0E27"/>
          <w:sz w:val="21"/>
        </w:rPr>
        <w:t>Net Revenue Retention，净收入留存率（&gt;100% 表示老客户在增购）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【LTV】 </w:t>
      </w:r>
      <w:r>
        <w:rPr>
          <w:rFonts w:ascii="Calibri" w:hAnsi="Calibri" w:eastAsia="微软雅黑"/>
          <w:b w:val="0"/>
          <w:color w:val="0A0E27"/>
          <w:sz w:val="21"/>
        </w:rPr>
        <w:t>Life-Time Value，客户终身价值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【CAC】 </w:t>
      </w:r>
      <w:r>
        <w:rPr>
          <w:rFonts w:ascii="Calibri" w:hAnsi="Calibri" w:eastAsia="微软雅黑"/>
          <w:b w:val="0"/>
          <w:color w:val="0A0E27"/>
          <w:sz w:val="21"/>
        </w:rPr>
        <w:t>Customer Acquisition Cost，客户获取成本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【MOU】 </w:t>
      </w:r>
      <w:r>
        <w:rPr>
          <w:rFonts w:ascii="Calibri" w:hAnsi="Calibri" w:eastAsia="微软雅黑"/>
          <w:b w:val="0"/>
          <w:color w:val="0A0E27"/>
          <w:sz w:val="21"/>
        </w:rPr>
        <w:t>Memorandum of Understanding，谅解备忘录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【LOI】 </w:t>
      </w:r>
      <w:r>
        <w:rPr>
          <w:rFonts w:ascii="Calibri" w:hAnsi="Calibri" w:eastAsia="微软雅黑"/>
          <w:b w:val="0"/>
          <w:color w:val="0A0E27"/>
          <w:sz w:val="21"/>
        </w:rPr>
        <w:t>Letter of Intent，意向书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【IPO】 </w:t>
      </w:r>
      <w:r>
        <w:rPr>
          <w:rFonts w:ascii="Calibri" w:hAnsi="Calibri" w:eastAsia="微软雅黑"/>
          <w:b w:val="0"/>
          <w:color w:val="0A0E27"/>
          <w:sz w:val="21"/>
        </w:rPr>
        <w:t>Initial Public Offering，首次公开募股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【CTA】 </w:t>
      </w:r>
      <w:r>
        <w:rPr>
          <w:rFonts w:ascii="Calibri" w:hAnsi="Calibri" w:eastAsia="微软雅黑"/>
          <w:b w:val="0"/>
          <w:color w:val="0A0E27"/>
          <w:sz w:val="21"/>
        </w:rPr>
        <w:t>Call To Action，行动召唤（如扫码试用）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【NDA】 </w:t>
      </w:r>
      <w:r>
        <w:rPr>
          <w:rFonts w:ascii="Calibri" w:hAnsi="Calibri" w:eastAsia="微软雅黑"/>
          <w:b w:val="0"/>
          <w:color w:val="0A0E27"/>
          <w:sz w:val="21"/>
        </w:rPr>
        <w:t>Non-Disclosure Agreement，保密协议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【ICP】 </w:t>
      </w:r>
      <w:r>
        <w:rPr>
          <w:rFonts w:ascii="Calibri" w:hAnsi="Calibri" w:eastAsia="微软雅黑"/>
          <w:b w:val="0"/>
          <w:color w:val="0A0E27"/>
          <w:sz w:val="21"/>
        </w:rPr>
        <w:t>Ideal Customer Profile，理想客户画像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【PR】 </w:t>
      </w:r>
      <w:r>
        <w:rPr>
          <w:rFonts w:ascii="Calibri" w:hAnsi="Calibri" w:eastAsia="微软雅黑"/>
          <w:b w:val="0"/>
          <w:color w:val="0A0E27"/>
          <w:sz w:val="21"/>
        </w:rPr>
        <w:t>Public Relations，公共关系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【SEO】 </w:t>
      </w:r>
      <w:r>
        <w:rPr>
          <w:rFonts w:ascii="Calibri" w:hAnsi="Calibri" w:eastAsia="微软雅黑"/>
          <w:b w:val="0"/>
          <w:color w:val="0A0E27"/>
          <w:sz w:val="21"/>
        </w:rPr>
        <w:t>Search Engine Optimization，搜索引擎优化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【SaaS】 </w:t>
      </w:r>
      <w:r>
        <w:rPr>
          <w:rFonts w:ascii="Calibri" w:hAnsi="Calibri" w:eastAsia="微软雅黑"/>
          <w:b w:val="0"/>
          <w:color w:val="0A0E27"/>
          <w:sz w:val="21"/>
        </w:rPr>
        <w:t>Software as a Service，软件即服务</w:t>
      </w:r>
    </w:p>
    <w:p>
      <w:pPr>
        <w:ind w:left="283" w:hanging="283"/>
      </w:pPr>
      <w:r>
        <w:rPr>
          <w:rFonts w:ascii="Calibri" w:hAnsi="Calibri" w:eastAsia="微软雅黑"/>
          <w:b/>
          <w:color w:val="00D4FF"/>
          <w:sz w:val="21"/>
        </w:rPr>
        <w:t xml:space="preserve">【SLA】 </w:t>
      </w:r>
      <w:r>
        <w:rPr>
          <w:rFonts w:ascii="Calibri" w:hAnsi="Calibri" w:eastAsia="微软雅黑"/>
          <w:b w:val="0"/>
          <w:color w:val="0A0E27"/>
          <w:sz w:val="21"/>
        </w:rPr>
        <w:t>Service Level Agreement，服务等级协议</w:t>
      </w:r>
    </w:p>
    <w:p>
      <w:pPr>
        <w:spacing w:before="240" w:after="120"/>
      </w:pPr>
      <w:r>
        <w:rPr>
          <w:rFonts w:ascii="Calibri" w:hAnsi="Calibri" w:eastAsia="微软雅黑"/>
          <w:b/>
          <w:color w:val="00D4FF"/>
          <w:sz w:val="28"/>
        </w:rPr>
        <w:t>A.3 文档版本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版本：V1.0（2026年6月冠军冲刺版）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编制：慧点资本 / 上海慧点信息科技有限公司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官方网站：https://quantinsight.cn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0A0E27"/>
          <w:sz w:val="21"/>
        </w:rPr>
        <w:t>© 2026 QuantInsight Pro. All rights reserved.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8892B0"/>
        <w:sz w:val="16"/>
      </w:rPr>
      <w:t>© 2026 QuantInsight Pro | https://quantinsight.cn | 让AI可解释，让投资更可信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